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CF" w:rsidRDefault="00CB6ACF" w:rsidP="00CB6ACF">
      <w:pPr>
        <w:bidi w:val="0"/>
        <w:spacing w:line="360" w:lineRule="auto"/>
        <w:jc w:val="center"/>
        <w:rPr>
          <w:rFonts w:ascii="Arial" w:hAnsi="Arial" w:cs="Tahoma"/>
        </w:rPr>
      </w:pP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noProof/>
          <w:sz w:val="36"/>
          <w:szCs w:val="36"/>
        </w:rPr>
        <w:drawing>
          <wp:inline distT="0" distB="0" distL="0" distR="0" wp14:anchorId="2284C2DC" wp14:editId="5A343881">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Cs/>
        </w:rPr>
        <w:t xml:space="preserve">Date: </w:t>
      </w:r>
      <w:r>
        <w:rPr>
          <w:rFonts w:ascii="Arial" w:hAnsi="Arial" w:cs="Tahoma"/>
          <w:bCs/>
        </w:rPr>
        <w:t>August 2014</w:t>
      </w:r>
      <w:r>
        <w:rPr>
          <w:rFonts w:ascii="Arial" w:hAnsi="Arial" w:cs="Tahoma"/>
          <w:bCs/>
          <w:rtl/>
        </w:rPr>
        <w:t xml:space="preserve"> </w:t>
      </w:r>
      <w:r>
        <w:rPr>
          <w:rFonts w:ascii="Arial" w:hAnsi="Arial" w:cs="Tahoma"/>
          <w:bCs/>
          <w:sz w:val="36"/>
          <w:szCs w:val="36"/>
        </w:rPr>
        <w:t>Course Name and Number</w:t>
      </w:r>
      <w:r w:rsidRPr="002E026B">
        <w:rPr>
          <w:rFonts w:ascii="Arial" w:hAnsi="Arial" w:cs="Tahoma"/>
          <w:bCs/>
          <w:sz w:val="36"/>
          <w:szCs w:val="36"/>
          <w:rtl/>
        </w:rPr>
        <w:t>:</w:t>
      </w:r>
    </w:p>
    <w:p w:rsidR="00CB6ACF" w:rsidRDefault="00CB6ACF" w:rsidP="00CB6ACF">
      <w:pPr>
        <w:bidi w:val="0"/>
        <w:jc w:val="center"/>
        <w:rPr>
          <w:sz w:val="28"/>
        </w:rPr>
      </w:pPr>
      <w:bookmarkStart w:id="0" w:name="_GoBack"/>
      <w:r w:rsidRPr="00E31181">
        <w:rPr>
          <w:sz w:val="28"/>
        </w:rPr>
        <w:t>Prayer and Man to G-d Issues</w:t>
      </w:r>
      <w:bookmarkEnd w:id="0"/>
    </w:p>
    <w:p w:rsidR="00CB6ACF" w:rsidRDefault="00CB6ACF" w:rsidP="00CB6ACF">
      <w:pPr>
        <w:bidi w:val="0"/>
        <w:spacing w:line="360" w:lineRule="auto"/>
        <w:jc w:val="center"/>
        <w:rPr>
          <w:rFonts w:ascii="Arial" w:hAnsi="Arial" w:cs="Arial"/>
          <w:b/>
          <w:bCs/>
        </w:rPr>
      </w:pPr>
    </w:p>
    <w:p w:rsidR="00CB6ACF" w:rsidRPr="00E31181" w:rsidRDefault="00CB6ACF" w:rsidP="00CB6ACF">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b/>
          <w:bCs/>
        </w:rPr>
        <w:t xml:space="preserve"> </w:t>
      </w:r>
      <w:r>
        <w:rPr>
          <w:rFonts w:ascii="Arial" w:hAnsi="Arial" w:cs="Arial"/>
        </w:rPr>
        <w:t>Lecture</w:t>
      </w:r>
    </w:p>
    <w:p w:rsidR="00CB6ACF" w:rsidRPr="00805B7D" w:rsidRDefault="00CB6ACF" w:rsidP="00CB6ACF">
      <w:pPr>
        <w:bidi w:val="0"/>
        <w:spacing w:line="360" w:lineRule="auto"/>
        <w:rPr>
          <w:rFonts w:ascii="Arial" w:hAnsi="Arial" w:cs="Arial"/>
          <w:rtl/>
        </w:rPr>
      </w:pPr>
      <w:r>
        <w:rPr>
          <w:rFonts w:ascii="Arial" w:hAnsi="Arial" w:cs="Arial"/>
          <w:b/>
          <w:bCs/>
        </w:rPr>
        <w:t xml:space="preserve">Year of Studies: </w:t>
      </w:r>
      <w:r>
        <w:rPr>
          <w:rFonts w:ascii="Arial" w:hAnsi="Arial" w:cs="Arial"/>
        </w:rPr>
        <w:t>2014-2015</w:t>
      </w:r>
      <w:r>
        <w:rPr>
          <w:rFonts w:ascii="Arial" w:hAnsi="Arial" w:cs="Arial" w:hint="cs"/>
          <w:b/>
          <w:bCs/>
          <w:rtl/>
        </w:rPr>
        <w:t xml:space="preserve"> </w:t>
      </w:r>
      <w:r>
        <w:rPr>
          <w:rFonts w:ascii="Arial" w:hAnsi="Arial" w:cs="Arial"/>
          <w:b/>
          <w:bCs/>
        </w:rPr>
        <w:t xml:space="preserve">Semester: </w:t>
      </w:r>
      <w:r>
        <w:rPr>
          <w:rFonts w:ascii="Arial" w:hAnsi="Arial" w:cs="Arial"/>
        </w:rPr>
        <w:t>Spring</w:t>
      </w:r>
      <w:r>
        <w:rPr>
          <w:rFonts w:ascii="Arial" w:hAnsi="Arial" w:cs="Arial"/>
          <w:b/>
          <w:bCs/>
        </w:rPr>
        <w:t xml:space="preserve">   Hours/credits: </w:t>
      </w:r>
      <w:r>
        <w:rPr>
          <w:rFonts w:ascii="Arial" w:hAnsi="Arial" w:cs="Arial"/>
        </w:rPr>
        <w:t>2</w:t>
      </w:r>
    </w:p>
    <w:p w:rsidR="00CB6ACF" w:rsidRDefault="00CB6ACF" w:rsidP="00CB6ACF">
      <w:pPr>
        <w:bidi w:val="0"/>
        <w:ind w:left="226" w:firstLine="26"/>
        <w:rPr>
          <w:rFonts w:ascii="Arial" w:hAnsi="Arial" w:cs="Arial"/>
          <w:b/>
          <w:bCs/>
          <w:sz w:val="26"/>
          <w:szCs w:val="26"/>
        </w:rPr>
      </w:pPr>
      <w:r w:rsidRPr="002E026B">
        <w:rPr>
          <w:rFonts w:ascii="Arial" w:hAnsi="Arial" w:cs="Arial"/>
          <w:rtl/>
        </w:rPr>
        <w:t xml:space="preserve"> </w:t>
      </w:r>
      <w:r>
        <w:rPr>
          <w:rFonts w:ascii="Arial" w:hAnsi="Arial" w:cs="Arial"/>
          <w:b/>
          <w:bCs/>
          <w:sz w:val="26"/>
          <w:szCs w:val="26"/>
        </w:rPr>
        <w:t xml:space="preserve">Course Description: </w:t>
      </w:r>
    </w:p>
    <w:p w:rsidR="00CB6ACF" w:rsidRDefault="00CB6ACF" w:rsidP="00CB6ACF">
      <w:pPr>
        <w:bidi w:val="0"/>
      </w:pPr>
      <w:r>
        <w:t>The aim of the course is to introduce the different modes of thought in Rabbinic literature towards the centrality of prayer in Jewish tradition. The rulings of Rabbinic authorities will be reviewed in order to crystallize an understanding of the methodology &amp; philosophy of prayer as incorporated in the daily life of the Jewish community. We will analyze the liturgical order of prayer in the traditional Jewish prayer book with special focus &amp; emphasis on the quintessential prayer of the Amidah.</w:t>
      </w:r>
    </w:p>
    <w:p w:rsidR="00CB6ACF" w:rsidRDefault="00CB6ACF" w:rsidP="00CB6ACF">
      <w:pPr>
        <w:bidi w:val="0"/>
      </w:pPr>
    </w:p>
    <w:p w:rsidR="00CB6ACF" w:rsidRDefault="00CB6ACF" w:rsidP="00CB6ACF">
      <w:pPr>
        <w:bidi w:val="0"/>
        <w:ind w:left="26"/>
        <w:rPr>
          <w:rFonts w:ascii="Arial" w:hAnsi="Arial" w:cs="Arial"/>
          <w:b/>
          <w:bCs/>
          <w:sz w:val="26"/>
          <w:szCs w:val="26"/>
        </w:rPr>
      </w:pPr>
    </w:p>
    <w:p w:rsidR="00CB6ACF" w:rsidRDefault="00CB6ACF" w:rsidP="00CB6ACF">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CB6ACF" w:rsidRPr="00960575" w:rsidRDefault="00CB6ACF" w:rsidP="00CB6ACF">
      <w:pPr>
        <w:bidi w:val="0"/>
        <w:ind w:left="26"/>
        <w:rPr>
          <w:rFonts w:ascii="Arial" w:hAnsi="Arial" w:cs="Arial"/>
          <w:rtl/>
        </w:rPr>
      </w:pPr>
    </w:p>
    <w:p w:rsidR="00CB6ACF" w:rsidRDefault="00CB6ACF" w:rsidP="00CB6ACF">
      <w:pPr>
        <w:bidi w:val="0"/>
      </w:pPr>
      <w:r>
        <w:rPr>
          <w:b/>
          <w:bCs/>
          <w:sz w:val="28"/>
          <w:szCs w:val="28"/>
          <w:u w:val="single"/>
        </w:rPr>
        <w:t>Unit 1 :</w:t>
      </w:r>
      <w:r>
        <w:rPr>
          <w:sz w:val="28"/>
          <w:szCs w:val="28"/>
        </w:rPr>
        <w:tab/>
      </w:r>
    </w:p>
    <w:p w:rsidR="00CB6ACF" w:rsidRDefault="00CB6ACF" w:rsidP="00CB6ACF">
      <w:pPr>
        <w:numPr>
          <w:ilvl w:val="0"/>
          <w:numId w:val="1"/>
        </w:numPr>
        <w:bidi w:val="0"/>
      </w:pPr>
      <w:r>
        <w:t>The History of Jewish "Tefilah" Prayer.</w:t>
      </w:r>
    </w:p>
    <w:p w:rsidR="00CB6ACF" w:rsidRDefault="00CB6ACF" w:rsidP="00CB6ACF">
      <w:pPr>
        <w:numPr>
          <w:ilvl w:val="0"/>
          <w:numId w:val="1"/>
        </w:numPr>
        <w:bidi w:val="0"/>
      </w:pPr>
      <w:r>
        <w:t>Prayer in Biblical Literature.</w:t>
      </w:r>
    </w:p>
    <w:p w:rsidR="00CB6ACF" w:rsidRDefault="00CB6ACF" w:rsidP="00CB6ACF">
      <w:pPr>
        <w:numPr>
          <w:ilvl w:val="0"/>
          <w:numId w:val="1"/>
        </w:numPr>
        <w:bidi w:val="0"/>
      </w:pPr>
      <w:r>
        <w:t>Mishnaic &amp; Talmudic ideas, Law &amp; approaches to prayer</w:t>
      </w:r>
    </w:p>
    <w:p w:rsidR="00CB6ACF" w:rsidRDefault="00CB6ACF" w:rsidP="00CB6ACF">
      <w:pPr>
        <w:numPr>
          <w:ilvl w:val="0"/>
          <w:numId w:val="1"/>
        </w:numPr>
        <w:bidi w:val="0"/>
      </w:pPr>
      <w:r>
        <w:t>Codification of the Prayer Book.</w:t>
      </w:r>
    </w:p>
    <w:p w:rsidR="00CB6ACF" w:rsidRDefault="00CB6ACF" w:rsidP="00CB6ACF">
      <w:pPr>
        <w:bidi w:val="0"/>
      </w:pPr>
    </w:p>
    <w:p w:rsidR="00CB6ACF" w:rsidRDefault="00CB6ACF" w:rsidP="00CB6ACF">
      <w:pPr>
        <w:bidi w:val="0"/>
        <w:rPr>
          <w:sz w:val="28"/>
          <w:szCs w:val="28"/>
        </w:rPr>
      </w:pPr>
      <w:r>
        <w:rPr>
          <w:b/>
          <w:bCs/>
          <w:sz w:val="28"/>
          <w:szCs w:val="28"/>
          <w:u w:val="single"/>
        </w:rPr>
        <w:t>Unit 2:</w:t>
      </w:r>
      <w:r>
        <w:rPr>
          <w:sz w:val="28"/>
          <w:szCs w:val="28"/>
        </w:rPr>
        <w:tab/>
      </w:r>
    </w:p>
    <w:p w:rsidR="00CB6ACF" w:rsidRDefault="00CB6ACF" w:rsidP="00CB6ACF">
      <w:pPr>
        <w:numPr>
          <w:ilvl w:val="0"/>
          <w:numId w:val="2"/>
        </w:numPr>
        <w:bidi w:val="0"/>
      </w:pPr>
      <w:r>
        <w:t xml:space="preserve">Formal &amp; informal prayer – analysis of the advantages &amp; disadvantages of each category. </w:t>
      </w:r>
    </w:p>
    <w:p w:rsidR="00CB6ACF" w:rsidRDefault="00CB6ACF" w:rsidP="00CB6ACF">
      <w:pPr>
        <w:numPr>
          <w:ilvl w:val="0"/>
          <w:numId w:val="2"/>
        </w:numPr>
        <w:bidi w:val="0"/>
      </w:pPr>
      <w:r>
        <w:t xml:space="preserve">Hebrew prayer vs. prayer in the vernacular. </w:t>
      </w:r>
    </w:p>
    <w:p w:rsidR="00CB6ACF" w:rsidRDefault="00CB6ACF" w:rsidP="00CB6ACF">
      <w:pPr>
        <w:numPr>
          <w:ilvl w:val="0"/>
          <w:numId w:val="2"/>
        </w:numPr>
        <w:bidi w:val="0"/>
      </w:pPr>
      <w:r>
        <w:t>Rabbinic suggestions for individualistic petitional prayer within the framework of the Siddur.</w:t>
      </w:r>
    </w:p>
    <w:p w:rsidR="00CB6ACF" w:rsidRDefault="00CB6ACF" w:rsidP="00CB6ACF">
      <w:pPr>
        <w:bidi w:val="0"/>
      </w:pPr>
    </w:p>
    <w:p w:rsidR="00CB6ACF" w:rsidRDefault="00CB6ACF" w:rsidP="00CB6ACF">
      <w:pPr>
        <w:bidi w:val="0"/>
        <w:rPr>
          <w:sz w:val="28"/>
          <w:szCs w:val="28"/>
        </w:rPr>
      </w:pPr>
      <w:r>
        <w:rPr>
          <w:b/>
          <w:bCs/>
          <w:sz w:val="28"/>
          <w:szCs w:val="28"/>
          <w:u w:val="single"/>
        </w:rPr>
        <w:t>Unit 3 :</w:t>
      </w:r>
      <w:r>
        <w:rPr>
          <w:sz w:val="28"/>
          <w:szCs w:val="28"/>
        </w:rPr>
        <w:tab/>
      </w:r>
    </w:p>
    <w:p w:rsidR="00CB6ACF" w:rsidRPr="00835DA9" w:rsidRDefault="00CB6ACF" w:rsidP="00CB6ACF">
      <w:pPr>
        <w:bidi w:val="0"/>
        <w:rPr>
          <w:sz w:val="28"/>
          <w:szCs w:val="28"/>
        </w:rPr>
      </w:pPr>
      <w:r w:rsidRPr="00835DA9">
        <w:rPr>
          <w:sz w:val="28"/>
          <w:szCs w:val="28"/>
        </w:rPr>
        <w:t xml:space="preserve">Prayer Motions </w:t>
      </w:r>
    </w:p>
    <w:p w:rsidR="00CB6ACF" w:rsidRDefault="00CB6ACF" w:rsidP="00CB6ACF">
      <w:pPr>
        <w:numPr>
          <w:ilvl w:val="0"/>
          <w:numId w:val="3"/>
        </w:numPr>
        <w:bidi w:val="0"/>
      </w:pPr>
      <w:r>
        <w:t>Sitting vs. Standing – When &amp; Why.</w:t>
      </w:r>
    </w:p>
    <w:p w:rsidR="00CB6ACF" w:rsidRDefault="00CB6ACF" w:rsidP="00CB6ACF">
      <w:pPr>
        <w:numPr>
          <w:ilvl w:val="0"/>
          <w:numId w:val="3"/>
        </w:numPr>
        <w:bidi w:val="0"/>
      </w:pPr>
      <w:r>
        <w:t>Kneeling &amp; Bowing – What's the significance?</w:t>
      </w:r>
    </w:p>
    <w:p w:rsidR="00CB6ACF" w:rsidRDefault="00CB6ACF" w:rsidP="00CB6ACF">
      <w:pPr>
        <w:numPr>
          <w:ilvl w:val="0"/>
          <w:numId w:val="3"/>
        </w:numPr>
        <w:bidi w:val="0"/>
      </w:pPr>
      <w:r>
        <w:t>Swaying &amp; Shaking – Understanding the positions of the protagonists &amp; antagonists.</w:t>
      </w:r>
    </w:p>
    <w:p w:rsidR="00CB6ACF" w:rsidRDefault="00CB6ACF" w:rsidP="00CB6ACF">
      <w:pPr>
        <w:bidi w:val="0"/>
        <w:ind w:left="360"/>
      </w:pPr>
      <w:r>
        <w:br w:type="page"/>
      </w:r>
    </w:p>
    <w:p w:rsidR="00CB6ACF" w:rsidRDefault="00CB6ACF" w:rsidP="00CB6ACF">
      <w:pPr>
        <w:bidi w:val="0"/>
      </w:pPr>
    </w:p>
    <w:p w:rsidR="00CB6ACF" w:rsidRDefault="00CB6ACF" w:rsidP="00CB6ACF">
      <w:pPr>
        <w:bidi w:val="0"/>
        <w:rPr>
          <w:i/>
          <w:iCs/>
          <w:sz w:val="28"/>
          <w:szCs w:val="28"/>
        </w:rPr>
      </w:pPr>
      <w:r>
        <w:rPr>
          <w:b/>
          <w:bCs/>
          <w:sz w:val="28"/>
          <w:szCs w:val="28"/>
          <w:u w:val="single"/>
        </w:rPr>
        <w:t>Unit 4 :</w:t>
      </w:r>
      <w:r>
        <w:rPr>
          <w:sz w:val="28"/>
          <w:szCs w:val="28"/>
        </w:rPr>
        <w:tab/>
      </w:r>
    </w:p>
    <w:p w:rsidR="00CB6ACF" w:rsidRPr="00835DA9" w:rsidRDefault="00CB6ACF" w:rsidP="00CB6ACF">
      <w:pPr>
        <w:bidi w:val="0"/>
        <w:rPr>
          <w:sz w:val="28"/>
          <w:szCs w:val="28"/>
        </w:rPr>
      </w:pPr>
      <w:r w:rsidRPr="00835DA9">
        <w:rPr>
          <w:sz w:val="28"/>
          <w:szCs w:val="28"/>
        </w:rPr>
        <w:t>Philosophy of Prayer</w:t>
      </w:r>
    </w:p>
    <w:p w:rsidR="00CB6ACF" w:rsidRDefault="00CB6ACF" w:rsidP="00CB6ACF">
      <w:pPr>
        <w:numPr>
          <w:ilvl w:val="0"/>
          <w:numId w:val="4"/>
        </w:numPr>
        <w:bidi w:val="0"/>
      </w:pPr>
      <w:r>
        <w:t>Why pray – Doesn't G-d know what we want?</w:t>
      </w:r>
    </w:p>
    <w:p w:rsidR="00CB6ACF" w:rsidRDefault="00CB6ACF" w:rsidP="00CB6ACF">
      <w:pPr>
        <w:numPr>
          <w:ilvl w:val="0"/>
          <w:numId w:val="4"/>
        </w:numPr>
        <w:bidi w:val="0"/>
      </w:pPr>
      <w:r>
        <w:t xml:space="preserve">Prayer as a lesson in value clarification. </w:t>
      </w:r>
    </w:p>
    <w:p w:rsidR="00CB6ACF" w:rsidRDefault="00CB6ACF" w:rsidP="00CB6ACF">
      <w:pPr>
        <w:numPr>
          <w:ilvl w:val="0"/>
          <w:numId w:val="4"/>
        </w:numPr>
        <w:bidi w:val="0"/>
      </w:pPr>
      <w:r>
        <w:t>Seeing prayer as faith strengthening – exercises.</w:t>
      </w:r>
    </w:p>
    <w:p w:rsidR="00CB6ACF" w:rsidRDefault="00CB6ACF" w:rsidP="00CB6ACF">
      <w:pPr>
        <w:numPr>
          <w:ilvl w:val="0"/>
          <w:numId w:val="4"/>
        </w:numPr>
        <w:bidi w:val="0"/>
      </w:pPr>
      <w:r>
        <w:t>Silent prayer vs. audible prayer – when to whisper, when to scream.</w:t>
      </w:r>
    </w:p>
    <w:p w:rsidR="00CB6ACF" w:rsidRDefault="00CB6ACF" w:rsidP="00CB6ACF">
      <w:pPr>
        <w:numPr>
          <w:ilvl w:val="0"/>
          <w:numId w:val="4"/>
        </w:numPr>
        <w:bidi w:val="0"/>
      </w:pPr>
      <w:r>
        <w:t>Songs of prayer &amp; recitals of prayer. What about musical instruments?</w:t>
      </w:r>
    </w:p>
    <w:p w:rsidR="00CB6ACF" w:rsidRDefault="00CB6ACF" w:rsidP="00CB6ACF">
      <w:pPr>
        <w:numPr>
          <w:ilvl w:val="0"/>
          <w:numId w:val="4"/>
        </w:numPr>
        <w:bidi w:val="0"/>
      </w:pPr>
      <w:r>
        <w:t>The humbling effects of prayer.</w:t>
      </w:r>
    </w:p>
    <w:p w:rsidR="00CB6ACF" w:rsidRDefault="00CB6ACF" w:rsidP="00CB6ACF">
      <w:pPr>
        <w:bidi w:val="0"/>
      </w:pPr>
    </w:p>
    <w:p w:rsidR="00CB6ACF" w:rsidRDefault="00CB6ACF" w:rsidP="00CB6ACF">
      <w:pPr>
        <w:bidi w:val="0"/>
      </w:pPr>
      <w:r>
        <w:rPr>
          <w:b/>
          <w:bCs/>
          <w:sz w:val="28"/>
          <w:szCs w:val="28"/>
          <w:u w:val="single"/>
        </w:rPr>
        <w:t>Unit 5:</w:t>
      </w:r>
    </w:p>
    <w:p w:rsidR="00CB6ACF" w:rsidRPr="00835DA9" w:rsidRDefault="00CB6ACF" w:rsidP="00CB6ACF">
      <w:pPr>
        <w:bidi w:val="0"/>
        <w:rPr>
          <w:sz w:val="28"/>
          <w:szCs w:val="28"/>
        </w:rPr>
      </w:pPr>
      <w:r w:rsidRPr="00835DA9">
        <w:rPr>
          <w:sz w:val="28"/>
          <w:szCs w:val="28"/>
        </w:rPr>
        <w:t>Praying for others</w:t>
      </w:r>
    </w:p>
    <w:p w:rsidR="00CB6ACF" w:rsidRDefault="00CB6ACF" w:rsidP="00CB6ACF">
      <w:pPr>
        <w:numPr>
          <w:ilvl w:val="0"/>
          <w:numId w:val="5"/>
        </w:numPr>
        <w:bidi w:val="0"/>
      </w:pPr>
      <w:r>
        <w:t xml:space="preserve">The plural form of prayer.        </w:t>
      </w:r>
      <w:r>
        <w:br/>
        <w:t>caring &amp; prayer for other peoples' needs.</w:t>
      </w:r>
    </w:p>
    <w:p w:rsidR="00CB6ACF" w:rsidRDefault="00CB6ACF" w:rsidP="00CB6ACF">
      <w:pPr>
        <w:numPr>
          <w:ilvl w:val="0"/>
          <w:numId w:val="5"/>
        </w:numPr>
        <w:bidi w:val="0"/>
      </w:pPr>
      <w:r>
        <w:t>The significance of "Minyan" – Congregational &amp; communal prayer.</w:t>
      </w:r>
    </w:p>
    <w:p w:rsidR="00CB6ACF" w:rsidRDefault="00CB6ACF" w:rsidP="00CB6ACF">
      <w:pPr>
        <w:numPr>
          <w:ilvl w:val="0"/>
          <w:numId w:val="5"/>
        </w:numPr>
        <w:bidi w:val="0"/>
      </w:pPr>
      <w:r>
        <w:t>Praying in a room with windows to the world.</w:t>
      </w:r>
    </w:p>
    <w:p w:rsidR="00CB6ACF" w:rsidRDefault="00CB6ACF" w:rsidP="00CB6ACF">
      <w:pPr>
        <w:bidi w:val="0"/>
        <w:ind w:left="26"/>
        <w:rPr>
          <w:rFonts w:ascii="Arial" w:hAnsi="Arial" w:cs="Arial"/>
          <w:b/>
          <w:bCs/>
          <w:sz w:val="26"/>
        </w:rPr>
      </w:pPr>
    </w:p>
    <w:p w:rsidR="00CB6ACF" w:rsidRDefault="00CB6ACF" w:rsidP="00CB6ACF">
      <w:pPr>
        <w:bidi w:val="0"/>
        <w:ind w:left="26"/>
        <w:rPr>
          <w:b/>
          <w:bCs/>
          <w:sz w:val="28"/>
          <w:szCs w:val="28"/>
          <w:u w:val="single"/>
        </w:rPr>
      </w:pPr>
      <w:r>
        <w:rPr>
          <w:b/>
          <w:bCs/>
          <w:sz w:val="28"/>
          <w:szCs w:val="28"/>
          <w:u w:val="single"/>
        </w:rPr>
        <w:t>Unit 6:</w:t>
      </w:r>
    </w:p>
    <w:p w:rsidR="00CB6ACF" w:rsidRPr="00835DA9" w:rsidRDefault="00CB6ACF" w:rsidP="00CB6ACF">
      <w:pPr>
        <w:bidi w:val="0"/>
        <w:ind w:left="26"/>
        <w:rPr>
          <w:sz w:val="28"/>
          <w:szCs w:val="28"/>
        </w:rPr>
      </w:pPr>
      <w:r w:rsidRPr="00835DA9">
        <w:rPr>
          <w:sz w:val="28"/>
          <w:szCs w:val="28"/>
        </w:rPr>
        <w:t>The Amidah Service.</w:t>
      </w:r>
    </w:p>
    <w:p w:rsidR="00CB6ACF" w:rsidRDefault="00CB6ACF" w:rsidP="00CB6ACF">
      <w:pPr>
        <w:numPr>
          <w:ilvl w:val="0"/>
          <w:numId w:val="6"/>
        </w:numPr>
        <w:bidi w:val="0"/>
      </w:pPr>
      <w:r>
        <w:t>Seeing the Amidah as the quintessential prayer.</w:t>
      </w:r>
    </w:p>
    <w:p w:rsidR="00CB6ACF" w:rsidRDefault="00CB6ACF" w:rsidP="00CB6ACF">
      <w:pPr>
        <w:numPr>
          <w:ilvl w:val="0"/>
          <w:numId w:val="6"/>
        </w:numPr>
        <w:bidi w:val="0"/>
      </w:pPr>
      <w:r>
        <w:t>Origins of the Amidah – Variant readings &amp; customs.</w:t>
      </w:r>
    </w:p>
    <w:p w:rsidR="00CB6ACF" w:rsidRDefault="00CB6ACF" w:rsidP="00CB6ACF">
      <w:pPr>
        <w:numPr>
          <w:ilvl w:val="0"/>
          <w:numId w:val="6"/>
        </w:numPr>
        <w:bidi w:val="0"/>
      </w:pPr>
      <w:r>
        <w:t>The significance of the systematic order of the Amidah.</w:t>
      </w:r>
    </w:p>
    <w:p w:rsidR="00CB6ACF" w:rsidRDefault="00CB6ACF" w:rsidP="00CB6ACF">
      <w:pPr>
        <w:numPr>
          <w:ilvl w:val="0"/>
          <w:numId w:val="6"/>
        </w:numPr>
        <w:bidi w:val="0"/>
      </w:pPr>
      <w:r>
        <w:t>Reflections of Rabbinic ideas of prayer as reflected in the Amidah.</w:t>
      </w:r>
    </w:p>
    <w:p w:rsidR="00CB6ACF" w:rsidRDefault="00CB6ACF" w:rsidP="00CB6ACF">
      <w:pPr>
        <w:bidi w:val="0"/>
        <w:ind w:left="386"/>
      </w:pPr>
    </w:p>
    <w:p w:rsidR="00CB6ACF" w:rsidRDefault="00CB6ACF" w:rsidP="00CB6ACF">
      <w:pPr>
        <w:bidi w:val="0"/>
        <w:ind w:left="26"/>
      </w:pPr>
      <w:r>
        <w:rPr>
          <w:b/>
          <w:bCs/>
          <w:sz w:val="28"/>
          <w:szCs w:val="28"/>
          <w:u w:val="single"/>
        </w:rPr>
        <w:t>Unit 7:</w:t>
      </w:r>
    </w:p>
    <w:p w:rsidR="00CB6ACF" w:rsidRPr="00835DA9" w:rsidRDefault="00CB6ACF" w:rsidP="00CB6ACF">
      <w:pPr>
        <w:bidi w:val="0"/>
        <w:ind w:left="26"/>
        <w:rPr>
          <w:sz w:val="28"/>
          <w:szCs w:val="28"/>
        </w:rPr>
      </w:pPr>
      <w:r w:rsidRPr="00835DA9">
        <w:rPr>
          <w:sz w:val="28"/>
          <w:szCs w:val="28"/>
        </w:rPr>
        <w:t>Prayer as an intimate relationship with G-d.</w:t>
      </w:r>
    </w:p>
    <w:p w:rsidR="00CB6ACF" w:rsidRDefault="00CB6ACF" w:rsidP="00CB6ACF">
      <w:pPr>
        <w:numPr>
          <w:ilvl w:val="0"/>
          <w:numId w:val="7"/>
        </w:numPr>
        <w:bidi w:val="0"/>
      </w:pPr>
      <w:r>
        <w:t>Will prayer bring us all that we want?</w:t>
      </w:r>
    </w:p>
    <w:p w:rsidR="00CB6ACF" w:rsidRDefault="00CB6ACF" w:rsidP="00CB6ACF">
      <w:pPr>
        <w:numPr>
          <w:ilvl w:val="0"/>
          <w:numId w:val="7"/>
        </w:numPr>
        <w:bidi w:val="0"/>
      </w:pPr>
      <w:r>
        <w:t>Prayer as a step towards getting closer to G-d.</w:t>
      </w:r>
    </w:p>
    <w:p w:rsidR="00CB6ACF" w:rsidRDefault="00CB6ACF" w:rsidP="00CB6ACF">
      <w:pPr>
        <w:numPr>
          <w:ilvl w:val="0"/>
          <w:numId w:val="7"/>
        </w:numPr>
        <w:bidi w:val="0"/>
      </w:pPr>
      <w:r>
        <w:t>Communication skills in approaching the Divine.</w:t>
      </w:r>
    </w:p>
    <w:p w:rsidR="00CB6ACF" w:rsidRDefault="00CB6ACF" w:rsidP="00CB6ACF">
      <w:pPr>
        <w:numPr>
          <w:ilvl w:val="0"/>
          <w:numId w:val="7"/>
        </w:numPr>
        <w:bidi w:val="0"/>
      </w:pPr>
      <w:r>
        <w:t>Summary.</w:t>
      </w:r>
    </w:p>
    <w:p w:rsidR="00CB6ACF" w:rsidRDefault="00CB6ACF" w:rsidP="00CB6ACF">
      <w:pPr>
        <w:bidi w:val="0"/>
        <w:ind w:left="26"/>
      </w:pPr>
    </w:p>
    <w:p w:rsidR="00CB6ACF" w:rsidRPr="002157B8" w:rsidRDefault="00CB6ACF" w:rsidP="00CB6ACF">
      <w:pPr>
        <w:bidi w:val="0"/>
        <w:ind w:left="26"/>
        <w:rPr>
          <w:rFonts w:ascii="Arial" w:hAnsi="Arial" w:cs="Arial"/>
          <w:b/>
          <w:bCs/>
          <w:sz w:val="26"/>
          <w:rtl/>
        </w:rPr>
      </w:pPr>
      <w:r w:rsidRPr="002157B8">
        <w:rPr>
          <w:rFonts w:ascii="Arial" w:hAnsi="Arial" w:cs="Arial"/>
          <w:b/>
          <w:bCs/>
          <w:sz w:val="26"/>
        </w:rPr>
        <w:t>Course requirements</w:t>
      </w:r>
    </w:p>
    <w:p w:rsidR="00CB6ACF" w:rsidRDefault="00CB6ACF" w:rsidP="00CB6ACF">
      <w:pPr>
        <w:bidi w:val="0"/>
      </w:pPr>
      <w:r>
        <w:t>1. Class attendance &amp; participation.</w:t>
      </w:r>
    </w:p>
    <w:p w:rsidR="00CB6ACF" w:rsidRDefault="00CB6ACF" w:rsidP="00CB6ACF">
      <w:pPr>
        <w:bidi w:val="0"/>
      </w:pPr>
      <w:r>
        <w:t>2. Submission of homework assignments.</w:t>
      </w:r>
    </w:p>
    <w:p w:rsidR="00CB6ACF" w:rsidRDefault="00CB6ACF" w:rsidP="00CB6ACF">
      <w:pPr>
        <w:bidi w:val="0"/>
      </w:pPr>
      <w:r>
        <w:t>3. Term paper.</w:t>
      </w:r>
    </w:p>
    <w:p w:rsidR="00CB6ACF" w:rsidRDefault="00CB6ACF" w:rsidP="00CB6ACF">
      <w:pPr>
        <w:bidi w:val="0"/>
      </w:pPr>
      <w:r>
        <w:t>4. Final examination.</w:t>
      </w:r>
    </w:p>
    <w:p w:rsidR="00CB6ACF" w:rsidRDefault="00CB6ACF" w:rsidP="00CB6ACF">
      <w:pPr>
        <w:bidi w:val="0"/>
        <w:spacing w:line="360" w:lineRule="auto"/>
        <w:ind w:left="26"/>
        <w:rPr>
          <w:rFonts w:ascii="Arial" w:hAnsi="Arial" w:cs="Arial"/>
          <w:b/>
          <w:bCs/>
        </w:rPr>
      </w:pPr>
    </w:p>
    <w:p w:rsidR="00CB6ACF" w:rsidRDefault="00CB6ACF" w:rsidP="00CB6ACF">
      <w:pPr>
        <w:bidi w:val="0"/>
        <w:spacing w:line="360" w:lineRule="auto"/>
        <w:ind w:left="26"/>
        <w:rPr>
          <w:rFonts w:ascii="Arial" w:hAnsi="Arial" w:cs="Arial"/>
          <w:b/>
          <w:bCs/>
        </w:rPr>
      </w:pPr>
      <w:r>
        <w:rPr>
          <w:rFonts w:ascii="Arial" w:hAnsi="Arial" w:cs="Arial"/>
          <w:b/>
          <w:bCs/>
        </w:rPr>
        <w:t>Grade Components: Number grade.</w:t>
      </w:r>
    </w:p>
    <w:p w:rsidR="00CB6ACF" w:rsidRDefault="00CB6ACF" w:rsidP="00CB6ACF">
      <w:pPr>
        <w:bidi w:val="0"/>
        <w:ind w:left="28"/>
      </w:pPr>
      <w:r>
        <w:t>Final – 50%</w:t>
      </w:r>
    </w:p>
    <w:p w:rsidR="00CB6ACF" w:rsidRDefault="00CB6ACF" w:rsidP="00CB6ACF">
      <w:pPr>
        <w:bidi w:val="0"/>
        <w:ind w:left="28"/>
      </w:pPr>
      <w:r>
        <w:t>Paper – 50%</w:t>
      </w:r>
    </w:p>
    <w:p w:rsidR="00CB6ACF" w:rsidRDefault="00CB6ACF" w:rsidP="00CB6ACF">
      <w:pPr>
        <w:bidi w:val="0"/>
      </w:pPr>
    </w:p>
    <w:p w:rsidR="00CB6ACF" w:rsidRDefault="00CB6ACF" w:rsidP="00CB6ACF">
      <w:pPr>
        <w:pStyle w:val="4"/>
        <w:rPr>
          <w:rFonts w:ascii="Arial" w:hAnsi="Arial" w:cs="Arial"/>
          <w:szCs w:val="24"/>
          <w:lang w:eastAsia="en-US"/>
        </w:rPr>
      </w:pPr>
      <w:r>
        <w:rPr>
          <w:rFonts w:ascii="Arial" w:hAnsi="Arial" w:cs="Arial"/>
          <w:sz w:val="26"/>
        </w:rPr>
        <w:br w:type="page"/>
      </w:r>
      <w:r w:rsidRPr="00965AAE">
        <w:rPr>
          <w:rFonts w:ascii="Arial" w:hAnsi="Arial" w:cs="Arial"/>
          <w:sz w:val="26"/>
        </w:rPr>
        <w:lastRenderedPageBreak/>
        <w:t>Bibliography</w:t>
      </w:r>
      <w:r w:rsidRPr="00965AAE">
        <w:rPr>
          <w:rFonts w:ascii="Arial" w:hAnsi="Arial" w:cs="Arial"/>
          <w:szCs w:val="24"/>
          <w:lang w:eastAsia="en-US"/>
        </w:rPr>
        <w:t xml:space="preserve">: (Required/ Elective) </w:t>
      </w:r>
    </w:p>
    <w:p w:rsidR="00CB6ACF" w:rsidRDefault="00CB6ACF" w:rsidP="00CB6ACF">
      <w:pPr>
        <w:bidi w:val="0"/>
      </w:pPr>
      <w:r>
        <w:t xml:space="preserve">1.Birenbaum, Mayer, </w:t>
      </w:r>
      <w:r w:rsidRPr="006E09AC">
        <w:rPr>
          <w:i/>
          <w:iCs/>
        </w:rPr>
        <w:t>Pathway to Prayer</w:t>
      </w:r>
      <w:r>
        <w:t>, 1997</w:t>
      </w:r>
    </w:p>
    <w:p w:rsidR="00CB6ACF" w:rsidRDefault="00CB6ACF" w:rsidP="00CB6ACF">
      <w:pPr>
        <w:bidi w:val="0"/>
      </w:pPr>
      <w:r>
        <w:t xml:space="preserve">2. Cohen, Gabriel H. &amp; Fish, Harold, ed.: </w:t>
      </w:r>
      <w:r w:rsidRPr="006E09AC">
        <w:rPr>
          <w:i/>
          <w:iCs/>
        </w:rPr>
        <w:t>Prayer in Judaism</w:t>
      </w:r>
      <w:r>
        <w:t>, 1996.</w:t>
      </w:r>
    </w:p>
    <w:p w:rsidR="00CB6ACF" w:rsidRDefault="00CB6ACF" w:rsidP="00CB6ACF">
      <w:pPr>
        <w:bidi w:val="0"/>
      </w:pPr>
      <w:r>
        <w:t xml:space="preserve">3. Cohen, Jack: </w:t>
      </w:r>
      <w:r w:rsidRPr="005E572F">
        <w:rPr>
          <w:i/>
          <w:iCs/>
        </w:rPr>
        <w:t>Major Philosophies of Jewish Prayer in the Twentieth Century</w:t>
      </w:r>
      <w:r>
        <w:t>, 2000.</w:t>
      </w:r>
    </w:p>
    <w:p w:rsidR="00CB6ACF" w:rsidRDefault="00CB6ACF" w:rsidP="00CB6ACF">
      <w:pPr>
        <w:bidi w:val="0"/>
      </w:pPr>
      <w:r>
        <w:t xml:space="preserve">4. Derovan, David: </w:t>
      </w:r>
      <w:r w:rsidRPr="005E572F">
        <w:rPr>
          <w:i/>
          <w:iCs/>
        </w:rPr>
        <w:t>Prayer: A study guide to the philosophy &amp;  meaning of prayer</w:t>
      </w:r>
      <w:r>
        <w:t>, 1970.</w:t>
      </w:r>
    </w:p>
    <w:p w:rsidR="00CB6ACF" w:rsidRDefault="00CB6ACF" w:rsidP="00CB6ACF">
      <w:pPr>
        <w:bidi w:val="0"/>
      </w:pPr>
      <w:r>
        <w:t xml:space="preserve">5. Donin, Hayim Halevy: </w:t>
      </w:r>
      <w:r w:rsidRPr="005E572F">
        <w:rPr>
          <w:i/>
          <w:iCs/>
        </w:rPr>
        <w:t>To pray as a Jew</w:t>
      </w:r>
      <w:r>
        <w:t>, 1980.</w:t>
      </w:r>
    </w:p>
    <w:p w:rsidR="00CB6ACF" w:rsidRPr="006E09AC" w:rsidRDefault="00CB6ACF" w:rsidP="00CB6ACF">
      <w:pPr>
        <w:bidi w:val="0"/>
      </w:pPr>
      <w:r>
        <w:t xml:space="preserve">6. Feuer, Avraham Chaim: </w:t>
      </w:r>
      <w:r w:rsidRPr="005E572F">
        <w:rPr>
          <w:i/>
          <w:iCs/>
        </w:rPr>
        <w:t>Shemoneh Esrei</w:t>
      </w:r>
      <w:r>
        <w:t>, 1995.</w:t>
      </w:r>
    </w:p>
    <w:p w:rsidR="00CB6ACF" w:rsidRDefault="00CB6ACF" w:rsidP="00CB6ACF">
      <w:pPr>
        <w:bidi w:val="0"/>
      </w:pPr>
      <w:r>
        <w:t xml:space="preserve">7. Golonkin, David: </w:t>
      </w:r>
      <w:r w:rsidRPr="005E572F">
        <w:rPr>
          <w:i/>
          <w:iCs/>
        </w:rPr>
        <w:t>Rediscovering the art of Jewish prayer</w:t>
      </w:r>
      <w:r>
        <w:t>, 1996.</w:t>
      </w:r>
    </w:p>
    <w:p w:rsidR="00CB6ACF" w:rsidRDefault="00CB6ACF" w:rsidP="00CB6ACF">
      <w:pPr>
        <w:bidi w:val="0"/>
      </w:pPr>
      <w:r>
        <w:t xml:space="preserve">8. Heinemann, Joseph: </w:t>
      </w:r>
      <w:r w:rsidRPr="005E572F">
        <w:rPr>
          <w:i/>
          <w:iCs/>
        </w:rPr>
        <w:t>Prayers in the Talmud</w:t>
      </w:r>
      <w:r>
        <w:t>, 1977.</w:t>
      </w:r>
    </w:p>
    <w:p w:rsidR="00CB6ACF" w:rsidRDefault="00CB6ACF" w:rsidP="00CB6ACF">
      <w:pPr>
        <w:bidi w:val="0"/>
      </w:pPr>
      <w:r>
        <w:t xml:space="preserve">9. Heschel, Abraham Joshua: </w:t>
      </w:r>
      <w:r w:rsidRPr="005E572F">
        <w:rPr>
          <w:i/>
          <w:iCs/>
        </w:rPr>
        <w:t>Man's quest for G-d: Studies in prayer &amp; Symbolism</w:t>
      </w:r>
      <w:r>
        <w:t>, 1954.</w:t>
      </w:r>
    </w:p>
    <w:p w:rsidR="00CB6ACF" w:rsidRDefault="00CB6ACF" w:rsidP="00CB6ACF">
      <w:pPr>
        <w:bidi w:val="0"/>
      </w:pPr>
      <w:r>
        <w:t xml:space="preserve">10. Idelsohn, A.Z.: </w:t>
      </w:r>
      <w:r w:rsidRPr="005E572F">
        <w:rPr>
          <w:i/>
          <w:iCs/>
        </w:rPr>
        <w:t>Jewish Liturgy &amp; it's development</w:t>
      </w:r>
      <w:r>
        <w:t>, 1932.</w:t>
      </w:r>
    </w:p>
    <w:p w:rsidR="00CB6ACF" w:rsidRDefault="00CB6ACF" w:rsidP="00CB6ACF">
      <w:pPr>
        <w:bidi w:val="0"/>
      </w:pPr>
      <w:r>
        <w:t xml:space="preserve">11. Jacobs, Louis: </w:t>
      </w:r>
      <w:r w:rsidRPr="005E572F">
        <w:rPr>
          <w:i/>
          <w:iCs/>
        </w:rPr>
        <w:t>Hasidic Prayer</w:t>
      </w:r>
      <w:r>
        <w:t>, 1993.</w:t>
      </w:r>
    </w:p>
    <w:p w:rsidR="00CB6ACF" w:rsidRDefault="00CB6ACF" w:rsidP="00CB6ACF">
      <w:pPr>
        <w:bidi w:val="0"/>
      </w:pPr>
      <w:r>
        <w:t xml:space="preserve">12. Jabobson, B.S.: </w:t>
      </w:r>
      <w:r w:rsidRPr="005E572F">
        <w:rPr>
          <w:i/>
          <w:iCs/>
        </w:rPr>
        <w:t>Meditations of the Siddur</w:t>
      </w:r>
      <w:r>
        <w:t>, 1978.</w:t>
      </w:r>
    </w:p>
    <w:p w:rsidR="00CB6ACF" w:rsidRDefault="00CB6ACF" w:rsidP="00CB6ACF">
      <w:pPr>
        <w:bidi w:val="0"/>
      </w:pPr>
      <w:r>
        <w:t xml:space="preserve">13. Kadish, Seth Avi: </w:t>
      </w:r>
      <w:r w:rsidRPr="005E572F">
        <w:rPr>
          <w:i/>
          <w:iCs/>
        </w:rPr>
        <w:t>Directing the heart in Jewish Prayer</w:t>
      </w:r>
      <w:r>
        <w:t>. 1997</w:t>
      </w:r>
    </w:p>
    <w:p w:rsidR="00CB6ACF" w:rsidRDefault="00CB6ACF" w:rsidP="00CB6ACF">
      <w:pPr>
        <w:bidi w:val="0"/>
      </w:pPr>
      <w:r>
        <w:t xml:space="preserve">14. Mindel, Nissan: </w:t>
      </w:r>
      <w:r w:rsidRPr="005E572F">
        <w:rPr>
          <w:i/>
          <w:iCs/>
        </w:rPr>
        <w:t>My Prayer</w:t>
      </w:r>
      <w:r>
        <w:t>, 1990.</w:t>
      </w:r>
    </w:p>
    <w:p w:rsidR="00CB6ACF" w:rsidRDefault="00CB6ACF" w:rsidP="00CB6ACF">
      <w:pPr>
        <w:bidi w:val="0"/>
      </w:pPr>
      <w:r>
        <w:t xml:space="preserve">15. Munk, Elie: </w:t>
      </w:r>
      <w:r w:rsidRPr="005E572F">
        <w:rPr>
          <w:i/>
          <w:iCs/>
        </w:rPr>
        <w:t>The world of prayer</w:t>
      </w:r>
      <w:r>
        <w:t>, 2007.</w:t>
      </w:r>
    </w:p>
    <w:p w:rsidR="00CB6ACF" w:rsidRDefault="00CB6ACF" w:rsidP="00CB6ACF">
      <w:pPr>
        <w:bidi w:val="0"/>
      </w:pPr>
      <w:r>
        <w:t xml:space="preserve">16. Nissel, Menachem: </w:t>
      </w:r>
      <w:r w:rsidRPr="005E572F">
        <w:rPr>
          <w:i/>
          <w:iCs/>
        </w:rPr>
        <w:t>Regshei Lev</w:t>
      </w:r>
      <w:r>
        <w:t>, 2001.</w:t>
      </w:r>
    </w:p>
    <w:p w:rsidR="00CB6ACF" w:rsidRDefault="00CB6ACF" w:rsidP="00CB6ACF">
      <w:pPr>
        <w:bidi w:val="0"/>
      </w:pPr>
      <w:r>
        <w:t xml:space="preserve">17. Shalom Hartman Institute: </w:t>
      </w:r>
      <w:r w:rsidRPr="005E572F">
        <w:rPr>
          <w:i/>
          <w:iCs/>
        </w:rPr>
        <w:t>Prayer, structure &amp; spontaneity</w:t>
      </w:r>
      <w:r>
        <w:t>, 1984.</w:t>
      </w:r>
    </w:p>
    <w:p w:rsidR="00CB6ACF" w:rsidRDefault="00CB6ACF" w:rsidP="00CB6ACF">
      <w:pPr>
        <w:bidi w:val="0"/>
      </w:pPr>
      <w:r>
        <w:t>18. Skikveichick, Joseph Dov: Worship of the heart: Essays on Jewish prayer, Carmy Sholom, Ed., 2003.</w:t>
      </w:r>
    </w:p>
    <w:p w:rsidR="00CB6ACF" w:rsidRDefault="00CB6ACF" w:rsidP="00CB6ACF">
      <w:pPr>
        <w:bidi w:val="0"/>
      </w:pPr>
    </w:p>
    <w:p w:rsidR="00CB6ACF" w:rsidRDefault="00CB6ACF" w:rsidP="00CB6ACF">
      <w:pPr>
        <w:bidi w:val="0"/>
      </w:pPr>
    </w:p>
    <w:p w:rsidR="00CB6ACF" w:rsidRPr="005176A4" w:rsidRDefault="00CB6ACF" w:rsidP="00CB6ACF"/>
    <w:p w:rsidR="002A64CD" w:rsidRDefault="002A64CD"/>
    <w:sectPr w:rsidR="002A64CD" w:rsidSect="00223964">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64" w:rsidRDefault="00CB6ACF" w:rsidP="00223964">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64" w:rsidRDefault="00CB6ACF" w:rsidP="00223964">
    <w:pPr>
      <w:pStyle w:val="a3"/>
      <w:jc w:val="center"/>
      <w:rPr>
        <w:color w:val="333333"/>
        <w:rtl/>
      </w:rPr>
    </w:pPr>
  </w:p>
  <w:p w:rsidR="00223964" w:rsidRPr="006F3984" w:rsidRDefault="00CB6ACF" w:rsidP="00223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493"/>
    <w:multiLevelType w:val="hybridMultilevel"/>
    <w:tmpl w:val="8384F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877B1"/>
    <w:multiLevelType w:val="hybridMultilevel"/>
    <w:tmpl w:val="13D4EEB0"/>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
    <w:nsid w:val="185C32D1"/>
    <w:multiLevelType w:val="hybridMultilevel"/>
    <w:tmpl w:val="4D0A0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373119"/>
    <w:multiLevelType w:val="hybridMultilevel"/>
    <w:tmpl w:val="98FA5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8937B3"/>
    <w:multiLevelType w:val="hybridMultilevel"/>
    <w:tmpl w:val="08060B2E"/>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nsid w:val="65163B75"/>
    <w:multiLevelType w:val="hybridMultilevel"/>
    <w:tmpl w:val="5DE49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A00D1"/>
    <w:multiLevelType w:val="hybridMultilevel"/>
    <w:tmpl w:val="1556F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CF"/>
    <w:rsid w:val="002A64CD"/>
    <w:rsid w:val="00CB6ACF"/>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CF"/>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CB6ACF"/>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CB6ACF"/>
    <w:rPr>
      <w:rFonts w:ascii="Garamond" w:eastAsia="Times New Roman" w:hAnsi="Garamond" w:cs="Miriam"/>
      <w:b/>
      <w:bCs/>
      <w:sz w:val="24"/>
      <w:szCs w:val="20"/>
      <w:lang w:eastAsia="he-IL"/>
    </w:rPr>
  </w:style>
  <w:style w:type="paragraph" w:styleId="a3">
    <w:name w:val="header"/>
    <w:basedOn w:val="a"/>
    <w:link w:val="a4"/>
    <w:rsid w:val="00CB6ACF"/>
    <w:pPr>
      <w:tabs>
        <w:tab w:val="center" w:pos="4153"/>
        <w:tab w:val="right" w:pos="8306"/>
      </w:tabs>
    </w:pPr>
  </w:style>
  <w:style w:type="character" w:customStyle="1" w:styleId="a4">
    <w:name w:val="כותרת עליונה תו"/>
    <w:basedOn w:val="a0"/>
    <w:link w:val="a3"/>
    <w:rsid w:val="00CB6ACF"/>
    <w:rPr>
      <w:rFonts w:ascii="Times New Roman" w:eastAsia="Times New Roman" w:hAnsi="Times New Roman" w:cs="Times New Roman"/>
      <w:sz w:val="24"/>
      <w:szCs w:val="24"/>
    </w:rPr>
  </w:style>
  <w:style w:type="paragraph" w:styleId="a5">
    <w:name w:val="footer"/>
    <w:basedOn w:val="a"/>
    <w:link w:val="a6"/>
    <w:rsid w:val="00CB6ACF"/>
    <w:pPr>
      <w:tabs>
        <w:tab w:val="center" w:pos="4153"/>
        <w:tab w:val="right" w:pos="8306"/>
      </w:tabs>
    </w:pPr>
  </w:style>
  <w:style w:type="character" w:customStyle="1" w:styleId="a6">
    <w:name w:val="כותרת תחתונה תו"/>
    <w:basedOn w:val="a0"/>
    <w:link w:val="a5"/>
    <w:rsid w:val="00CB6ACF"/>
    <w:rPr>
      <w:rFonts w:ascii="Times New Roman" w:eastAsia="Times New Roman" w:hAnsi="Times New Roman" w:cs="Times New Roman"/>
      <w:sz w:val="24"/>
      <w:szCs w:val="24"/>
    </w:rPr>
  </w:style>
  <w:style w:type="character" w:styleId="a7">
    <w:name w:val="page number"/>
    <w:basedOn w:val="a0"/>
    <w:rsid w:val="00CB6ACF"/>
    <w:rPr>
      <w:rFonts w:cs="Times New Roman"/>
    </w:rPr>
  </w:style>
  <w:style w:type="paragraph" w:styleId="a8">
    <w:name w:val="Balloon Text"/>
    <w:basedOn w:val="a"/>
    <w:link w:val="a9"/>
    <w:uiPriority w:val="99"/>
    <w:semiHidden/>
    <w:unhideWhenUsed/>
    <w:rsid w:val="00CB6ACF"/>
    <w:rPr>
      <w:rFonts w:ascii="Tahoma" w:hAnsi="Tahoma" w:cs="Tahoma"/>
      <w:sz w:val="16"/>
      <w:szCs w:val="16"/>
    </w:rPr>
  </w:style>
  <w:style w:type="character" w:customStyle="1" w:styleId="a9">
    <w:name w:val="טקסט בלונים תו"/>
    <w:basedOn w:val="a0"/>
    <w:link w:val="a8"/>
    <w:uiPriority w:val="99"/>
    <w:semiHidden/>
    <w:rsid w:val="00CB6A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CF"/>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CB6ACF"/>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CB6ACF"/>
    <w:rPr>
      <w:rFonts w:ascii="Garamond" w:eastAsia="Times New Roman" w:hAnsi="Garamond" w:cs="Miriam"/>
      <w:b/>
      <w:bCs/>
      <w:sz w:val="24"/>
      <w:szCs w:val="20"/>
      <w:lang w:eastAsia="he-IL"/>
    </w:rPr>
  </w:style>
  <w:style w:type="paragraph" w:styleId="a3">
    <w:name w:val="header"/>
    <w:basedOn w:val="a"/>
    <w:link w:val="a4"/>
    <w:rsid w:val="00CB6ACF"/>
    <w:pPr>
      <w:tabs>
        <w:tab w:val="center" w:pos="4153"/>
        <w:tab w:val="right" w:pos="8306"/>
      </w:tabs>
    </w:pPr>
  </w:style>
  <w:style w:type="character" w:customStyle="1" w:styleId="a4">
    <w:name w:val="כותרת עליונה תו"/>
    <w:basedOn w:val="a0"/>
    <w:link w:val="a3"/>
    <w:rsid w:val="00CB6ACF"/>
    <w:rPr>
      <w:rFonts w:ascii="Times New Roman" w:eastAsia="Times New Roman" w:hAnsi="Times New Roman" w:cs="Times New Roman"/>
      <w:sz w:val="24"/>
      <w:szCs w:val="24"/>
    </w:rPr>
  </w:style>
  <w:style w:type="paragraph" w:styleId="a5">
    <w:name w:val="footer"/>
    <w:basedOn w:val="a"/>
    <w:link w:val="a6"/>
    <w:rsid w:val="00CB6ACF"/>
    <w:pPr>
      <w:tabs>
        <w:tab w:val="center" w:pos="4153"/>
        <w:tab w:val="right" w:pos="8306"/>
      </w:tabs>
    </w:pPr>
  </w:style>
  <w:style w:type="character" w:customStyle="1" w:styleId="a6">
    <w:name w:val="כותרת תחתונה תו"/>
    <w:basedOn w:val="a0"/>
    <w:link w:val="a5"/>
    <w:rsid w:val="00CB6ACF"/>
    <w:rPr>
      <w:rFonts w:ascii="Times New Roman" w:eastAsia="Times New Roman" w:hAnsi="Times New Roman" w:cs="Times New Roman"/>
      <w:sz w:val="24"/>
      <w:szCs w:val="24"/>
    </w:rPr>
  </w:style>
  <w:style w:type="character" w:styleId="a7">
    <w:name w:val="page number"/>
    <w:basedOn w:val="a0"/>
    <w:rsid w:val="00CB6ACF"/>
    <w:rPr>
      <w:rFonts w:cs="Times New Roman"/>
    </w:rPr>
  </w:style>
  <w:style w:type="paragraph" w:styleId="a8">
    <w:name w:val="Balloon Text"/>
    <w:basedOn w:val="a"/>
    <w:link w:val="a9"/>
    <w:uiPriority w:val="99"/>
    <w:semiHidden/>
    <w:unhideWhenUsed/>
    <w:rsid w:val="00CB6ACF"/>
    <w:rPr>
      <w:rFonts w:ascii="Tahoma" w:hAnsi="Tahoma" w:cs="Tahoma"/>
      <w:sz w:val="16"/>
      <w:szCs w:val="16"/>
    </w:rPr>
  </w:style>
  <w:style w:type="character" w:customStyle="1" w:styleId="a9">
    <w:name w:val="טקסט בלונים תו"/>
    <w:basedOn w:val="a0"/>
    <w:link w:val="a8"/>
    <w:uiPriority w:val="99"/>
    <w:semiHidden/>
    <w:rsid w:val="00CB6A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3067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2014-08-27T10:26:00Z</dcterms:created>
  <dcterms:modified xsi:type="dcterms:W3CDTF">2014-08-27T10:27:00Z</dcterms:modified>
</cp:coreProperties>
</file>