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C0B" w:rsidRPr="00797552" w:rsidRDefault="001A6C0B" w:rsidP="001A6C0B">
      <w:pPr>
        <w:bidi w:val="0"/>
        <w:spacing w:line="360" w:lineRule="auto"/>
        <w:jc w:val="center"/>
        <w:rPr>
          <w:rFonts w:ascii="Arial" w:hAnsi="Arial" w:cs="Tahoma"/>
          <w:bCs/>
        </w:rPr>
      </w:pPr>
      <w:r>
        <w:rPr>
          <w:rFonts w:ascii="Arial" w:hAnsi="Arial" w:cs="Tahoma"/>
          <w:bCs/>
          <w:sz w:val="36"/>
          <w:szCs w:val="36"/>
          <w:rtl/>
        </w:rPr>
        <w:t xml:space="preserve">     </w:t>
      </w:r>
      <w:r>
        <w:rPr>
          <w:rFonts w:ascii="Arial" w:hAnsi="Arial" w:cs="Tahoma"/>
          <w:bCs/>
          <w:noProof/>
          <w:sz w:val="36"/>
          <w:szCs w:val="36"/>
        </w:rPr>
        <w:drawing>
          <wp:inline distT="0" distB="0" distL="0" distR="0" wp14:anchorId="202AE959" wp14:editId="2946C18B">
            <wp:extent cx="838200" cy="647700"/>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8200" cy="647700"/>
                    </a:xfrm>
                    <a:prstGeom prst="rect">
                      <a:avLst/>
                    </a:prstGeom>
                    <a:noFill/>
                    <a:ln>
                      <a:noFill/>
                    </a:ln>
                  </pic:spPr>
                </pic:pic>
              </a:graphicData>
            </a:graphic>
          </wp:inline>
        </w:drawing>
      </w:r>
      <w:r>
        <w:rPr>
          <w:rFonts w:ascii="Arial" w:hAnsi="Arial" w:cs="Tahoma"/>
          <w:bCs/>
          <w:sz w:val="36"/>
          <w:szCs w:val="36"/>
          <w:rtl/>
        </w:rPr>
        <w:t xml:space="preserve">            </w:t>
      </w:r>
      <w:r>
        <w:rPr>
          <w:rFonts w:ascii="Arial" w:hAnsi="Arial" w:cs="Tahoma"/>
          <w:bCs/>
          <w:rtl/>
        </w:rPr>
        <w:t xml:space="preserve">                                  </w:t>
      </w:r>
      <w:r>
        <w:rPr>
          <w:rFonts w:ascii="Arial" w:hAnsi="Arial" w:cs="Tahoma"/>
          <w:b/>
        </w:rPr>
        <w:t>Date:</w:t>
      </w:r>
      <w:r>
        <w:rPr>
          <w:rFonts w:ascii="Arial" w:hAnsi="Arial" w:cs="Tahoma"/>
          <w:bCs/>
        </w:rPr>
        <w:t xml:space="preserve"> March 2013</w:t>
      </w:r>
    </w:p>
    <w:p w:rsidR="001A6C0B" w:rsidRDefault="001A6C0B" w:rsidP="001A6C0B">
      <w:pPr>
        <w:bidi w:val="0"/>
        <w:spacing w:line="360" w:lineRule="auto"/>
        <w:jc w:val="center"/>
        <w:rPr>
          <w:rFonts w:ascii="Arial" w:hAnsi="Arial" w:cs="Tahoma"/>
        </w:rPr>
      </w:pPr>
      <w:r>
        <w:rPr>
          <w:rFonts w:ascii="Arial" w:hAnsi="Arial" w:cs="Tahoma"/>
          <w:bCs/>
          <w:sz w:val="36"/>
          <w:szCs w:val="36"/>
        </w:rPr>
        <w:t>Course Name and Number</w:t>
      </w:r>
      <w:r>
        <w:rPr>
          <w:rFonts w:ascii="Arial" w:hAnsi="Arial" w:cs="Tahoma"/>
          <w:bCs/>
          <w:sz w:val="36"/>
          <w:szCs w:val="36"/>
          <w:rtl/>
        </w:rPr>
        <w:t>:</w:t>
      </w:r>
    </w:p>
    <w:p w:rsidR="001A6C0B" w:rsidRPr="00797552" w:rsidRDefault="001A6C0B" w:rsidP="002D5300">
      <w:pPr>
        <w:bidi w:val="0"/>
        <w:spacing w:line="360" w:lineRule="auto"/>
        <w:jc w:val="center"/>
        <w:rPr>
          <w:rFonts w:ascii="Arial" w:hAnsi="Arial" w:cs="Arial"/>
        </w:rPr>
      </w:pPr>
      <w:r>
        <w:rPr>
          <w:sz w:val="28"/>
        </w:rPr>
        <w:t xml:space="preserve">Advanced </w:t>
      </w:r>
      <w:bookmarkStart w:id="0" w:name="_GoBack"/>
      <w:bookmarkEnd w:id="0"/>
      <w:r w:rsidRPr="00797552">
        <w:rPr>
          <w:sz w:val="28"/>
        </w:rPr>
        <w:t>Composition</w:t>
      </w:r>
      <w:r w:rsidRPr="00797552">
        <w:rPr>
          <w:rFonts w:ascii="Arial" w:hAnsi="Arial" w:cs="Arial"/>
        </w:rPr>
        <w:t xml:space="preserve"> </w:t>
      </w:r>
    </w:p>
    <w:p w:rsidR="001A6C0B" w:rsidRPr="00797552" w:rsidRDefault="001A6C0B" w:rsidP="001A6C0B">
      <w:pPr>
        <w:bidi w:val="0"/>
        <w:spacing w:line="360" w:lineRule="auto"/>
        <w:jc w:val="center"/>
        <w:rPr>
          <w:rFonts w:ascii="Arial" w:hAnsi="Arial" w:cs="Arial"/>
          <w:rtl/>
        </w:rPr>
      </w:pPr>
      <w:r w:rsidRPr="00797552">
        <w:rPr>
          <w:rFonts w:ascii="Arial" w:hAnsi="Arial" w:cs="Arial"/>
        </w:rPr>
        <w:t>37-09</w:t>
      </w:r>
      <w:r>
        <w:rPr>
          <w:rFonts w:ascii="Arial" w:hAnsi="Arial" w:cs="Arial"/>
        </w:rPr>
        <w:t>9</w:t>
      </w:r>
      <w:r w:rsidRPr="00797552">
        <w:rPr>
          <w:rFonts w:ascii="Arial" w:hAnsi="Arial" w:cs="Arial"/>
        </w:rPr>
        <w:t xml:space="preserve">-03/04  </w:t>
      </w:r>
    </w:p>
    <w:p w:rsidR="001A6C0B" w:rsidRDefault="001A6C0B" w:rsidP="001A6C0B">
      <w:pPr>
        <w:bidi w:val="0"/>
        <w:spacing w:line="360" w:lineRule="auto"/>
        <w:jc w:val="center"/>
        <w:rPr>
          <w:rFonts w:ascii="Arial" w:hAnsi="Arial" w:cs="Arial"/>
          <w:rtl/>
        </w:rPr>
      </w:pPr>
      <w:r>
        <w:rPr>
          <w:rFonts w:ascii="Arial" w:hAnsi="Arial" w:cs="Arial"/>
          <w:b/>
          <w:bCs/>
        </w:rPr>
        <w:t>Type of course</w:t>
      </w:r>
      <w:r>
        <w:rPr>
          <w:rFonts w:ascii="Arial" w:hAnsi="Arial" w:cs="Arial"/>
          <w:b/>
          <w:bCs/>
          <w:rtl/>
        </w:rPr>
        <w:t>:</w:t>
      </w:r>
      <w:r>
        <w:rPr>
          <w:rFonts w:ascii="Arial" w:hAnsi="Arial" w:cs="Arial"/>
        </w:rPr>
        <w:t xml:space="preserve"> Lecture</w:t>
      </w:r>
    </w:p>
    <w:p w:rsidR="001A6C0B" w:rsidRPr="00797552" w:rsidRDefault="001A6C0B" w:rsidP="001A6C0B">
      <w:pPr>
        <w:bidi w:val="0"/>
        <w:spacing w:line="360" w:lineRule="auto"/>
        <w:rPr>
          <w:rFonts w:ascii="Arial" w:hAnsi="Arial" w:cs="Arial"/>
          <w:rtl/>
        </w:rPr>
      </w:pPr>
      <w:r>
        <w:rPr>
          <w:rFonts w:ascii="Arial" w:hAnsi="Arial" w:cs="Arial"/>
          <w:b/>
          <w:bCs/>
        </w:rPr>
        <w:t>Year of Studies:</w:t>
      </w:r>
      <w:r>
        <w:rPr>
          <w:rFonts w:ascii="Arial" w:hAnsi="Arial" w:cs="Arial"/>
        </w:rPr>
        <w:t xml:space="preserve"> 2013-2014</w:t>
      </w:r>
      <w:r>
        <w:rPr>
          <w:rFonts w:ascii="Arial" w:hAnsi="Arial" w:cs="Arial"/>
          <w:b/>
          <w:bCs/>
        </w:rPr>
        <w:t xml:space="preserve">      Semester: </w:t>
      </w:r>
      <w:r>
        <w:rPr>
          <w:rFonts w:ascii="Arial" w:hAnsi="Arial" w:cs="Arial"/>
        </w:rPr>
        <w:t>Spring</w:t>
      </w:r>
      <w:r>
        <w:rPr>
          <w:rFonts w:ascii="Arial" w:hAnsi="Arial" w:cs="Arial"/>
          <w:b/>
          <w:bCs/>
        </w:rPr>
        <w:t xml:space="preserve">      Hours/credits: </w:t>
      </w:r>
      <w:r>
        <w:rPr>
          <w:rFonts w:ascii="Arial" w:hAnsi="Arial" w:cs="Arial"/>
        </w:rPr>
        <w:t>2</w:t>
      </w:r>
    </w:p>
    <w:p w:rsidR="001A6C0B" w:rsidRDefault="001A6C0B" w:rsidP="001A6C0B">
      <w:pPr>
        <w:bidi w:val="0"/>
        <w:ind w:left="26"/>
        <w:rPr>
          <w:rFonts w:ascii="Arial" w:hAnsi="Arial" w:cs="Arial"/>
          <w:b/>
          <w:bCs/>
          <w:sz w:val="26"/>
          <w:szCs w:val="26"/>
        </w:rPr>
      </w:pPr>
      <w:r>
        <w:rPr>
          <w:rFonts w:ascii="Arial" w:hAnsi="Arial" w:cs="Arial"/>
          <w:b/>
          <w:bCs/>
          <w:sz w:val="26"/>
          <w:szCs w:val="26"/>
        </w:rPr>
        <w:t xml:space="preserve">Course Description: </w:t>
      </w:r>
    </w:p>
    <w:p w:rsidR="001A6C0B" w:rsidRDefault="001A6C0B" w:rsidP="001A6C0B">
      <w:pPr>
        <w:jc w:val="right"/>
      </w:pPr>
      <w:r>
        <w:t>The central focus will be on writing essays and research papers. Students will be required to write three short essays (five pages each), and one longer one (twenty pages). In certain cases, a short story can be substituted for an essay.</w:t>
      </w:r>
    </w:p>
    <w:p w:rsidR="001A6C0B" w:rsidRDefault="001A6C0B" w:rsidP="001A6C0B">
      <w:pPr>
        <w:jc w:val="right"/>
      </w:pPr>
    </w:p>
    <w:p w:rsidR="001A6C0B" w:rsidRDefault="001A6C0B" w:rsidP="001A6C0B">
      <w:pPr>
        <w:jc w:val="right"/>
      </w:pPr>
      <w:r>
        <w:t>The lectures will include the following topics –</w:t>
      </w:r>
    </w:p>
    <w:p w:rsidR="001A6C0B" w:rsidRDefault="001A6C0B" w:rsidP="001A6C0B">
      <w:pPr>
        <w:jc w:val="right"/>
      </w:pPr>
    </w:p>
    <w:p w:rsidR="001A6C0B" w:rsidRPr="001D1E86" w:rsidRDefault="001A6C0B" w:rsidP="001A6C0B">
      <w:pPr>
        <w:pStyle w:val="1"/>
        <w:numPr>
          <w:ilvl w:val="0"/>
          <w:numId w:val="2"/>
        </w:numPr>
        <w:rPr>
          <w:sz w:val="24"/>
          <w:szCs w:val="24"/>
        </w:rPr>
      </w:pPr>
      <w:r w:rsidRPr="001D1E86">
        <w:rPr>
          <w:sz w:val="24"/>
          <w:szCs w:val="24"/>
        </w:rPr>
        <w:t>The Community of Scholars</w:t>
      </w:r>
    </w:p>
    <w:p w:rsidR="001A6C0B" w:rsidRPr="001D1E86" w:rsidRDefault="001A6C0B" w:rsidP="001A6C0B">
      <w:pPr>
        <w:pStyle w:val="1"/>
        <w:numPr>
          <w:ilvl w:val="0"/>
          <w:numId w:val="2"/>
        </w:numPr>
        <w:rPr>
          <w:sz w:val="24"/>
          <w:szCs w:val="24"/>
        </w:rPr>
      </w:pPr>
      <w:r w:rsidRPr="001D1E86">
        <w:rPr>
          <w:sz w:val="24"/>
          <w:szCs w:val="24"/>
        </w:rPr>
        <w:t>The Betrayal of Plagiarism</w:t>
      </w:r>
    </w:p>
    <w:p w:rsidR="001A6C0B" w:rsidRPr="001D1E86" w:rsidRDefault="001A6C0B" w:rsidP="001A6C0B">
      <w:pPr>
        <w:pStyle w:val="1"/>
        <w:numPr>
          <w:ilvl w:val="0"/>
          <w:numId w:val="2"/>
        </w:numPr>
        <w:rPr>
          <w:sz w:val="24"/>
          <w:szCs w:val="24"/>
        </w:rPr>
      </w:pPr>
      <w:r w:rsidRPr="001D1E86">
        <w:rPr>
          <w:sz w:val="24"/>
          <w:szCs w:val="24"/>
        </w:rPr>
        <w:t>Proper Documentation</w:t>
      </w:r>
    </w:p>
    <w:p w:rsidR="001A6C0B" w:rsidRPr="001D1E86" w:rsidRDefault="001A6C0B" w:rsidP="001A6C0B">
      <w:pPr>
        <w:pStyle w:val="1"/>
        <w:numPr>
          <w:ilvl w:val="0"/>
          <w:numId w:val="2"/>
        </w:numPr>
        <w:rPr>
          <w:sz w:val="24"/>
          <w:szCs w:val="24"/>
        </w:rPr>
      </w:pPr>
      <w:r w:rsidRPr="001D1E86">
        <w:rPr>
          <w:sz w:val="24"/>
          <w:szCs w:val="24"/>
        </w:rPr>
        <w:t>The Quotation</w:t>
      </w:r>
    </w:p>
    <w:p w:rsidR="001A6C0B" w:rsidRPr="001D1E86" w:rsidRDefault="001A6C0B" w:rsidP="001A6C0B">
      <w:pPr>
        <w:pStyle w:val="1"/>
        <w:numPr>
          <w:ilvl w:val="0"/>
          <w:numId w:val="2"/>
        </w:numPr>
        <w:rPr>
          <w:sz w:val="24"/>
          <w:szCs w:val="24"/>
        </w:rPr>
      </w:pPr>
      <w:r w:rsidRPr="001D1E86">
        <w:rPr>
          <w:sz w:val="24"/>
          <w:szCs w:val="24"/>
        </w:rPr>
        <w:t>The Paraphrase and the Summary</w:t>
      </w:r>
    </w:p>
    <w:p w:rsidR="001A6C0B" w:rsidRPr="001D1E86" w:rsidRDefault="001A6C0B" w:rsidP="001A6C0B">
      <w:pPr>
        <w:pStyle w:val="1"/>
        <w:numPr>
          <w:ilvl w:val="0"/>
          <w:numId w:val="2"/>
        </w:numPr>
        <w:rPr>
          <w:sz w:val="24"/>
          <w:szCs w:val="24"/>
        </w:rPr>
      </w:pPr>
      <w:r w:rsidRPr="001D1E86">
        <w:rPr>
          <w:sz w:val="24"/>
          <w:szCs w:val="24"/>
        </w:rPr>
        <w:t>Your Best Use of Resources</w:t>
      </w:r>
    </w:p>
    <w:p w:rsidR="001A6C0B" w:rsidRPr="001D1E86" w:rsidRDefault="001A6C0B" w:rsidP="001A6C0B">
      <w:pPr>
        <w:pStyle w:val="1"/>
        <w:numPr>
          <w:ilvl w:val="0"/>
          <w:numId w:val="2"/>
        </w:numPr>
        <w:rPr>
          <w:sz w:val="24"/>
          <w:szCs w:val="24"/>
        </w:rPr>
      </w:pPr>
      <w:r w:rsidRPr="001D1E86">
        <w:rPr>
          <w:sz w:val="24"/>
          <w:szCs w:val="24"/>
        </w:rPr>
        <w:t>The MLA Style</w:t>
      </w:r>
    </w:p>
    <w:p w:rsidR="001A6C0B" w:rsidRPr="001D1E86" w:rsidRDefault="001A6C0B" w:rsidP="001A6C0B">
      <w:pPr>
        <w:pStyle w:val="1"/>
        <w:numPr>
          <w:ilvl w:val="0"/>
          <w:numId w:val="2"/>
        </w:numPr>
        <w:rPr>
          <w:sz w:val="24"/>
          <w:szCs w:val="24"/>
        </w:rPr>
      </w:pPr>
      <w:r w:rsidRPr="001D1E86">
        <w:rPr>
          <w:sz w:val="24"/>
          <w:szCs w:val="24"/>
        </w:rPr>
        <w:t>Common Conventions</w:t>
      </w:r>
    </w:p>
    <w:p w:rsidR="001A6C0B" w:rsidRPr="001D1E86" w:rsidRDefault="001A6C0B" w:rsidP="001A6C0B">
      <w:pPr>
        <w:pStyle w:val="1"/>
        <w:numPr>
          <w:ilvl w:val="0"/>
          <w:numId w:val="2"/>
        </w:numPr>
        <w:rPr>
          <w:sz w:val="24"/>
          <w:szCs w:val="24"/>
        </w:rPr>
      </w:pPr>
      <w:r w:rsidRPr="001D1E86">
        <w:rPr>
          <w:sz w:val="24"/>
          <w:szCs w:val="24"/>
        </w:rPr>
        <w:t>Good  Writing</w:t>
      </w:r>
    </w:p>
    <w:p w:rsidR="001A6C0B" w:rsidRPr="001D1E86" w:rsidRDefault="001A6C0B" w:rsidP="001A6C0B">
      <w:pPr>
        <w:pStyle w:val="1"/>
        <w:numPr>
          <w:ilvl w:val="0"/>
          <w:numId w:val="2"/>
        </w:numPr>
        <w:rPr>
          <w:sz w:val="24"/>
          <w:szCs w:val="24"/>
        </w:rPr>
      </w:pPr>
      <w:r w:rsidRPr="001D1E86">
        <w:rPr>
          <w:sz w:val="24"/>
          <w:szCs w:val="24"/>
        </w:rPr>
        <w:t>Pick a Good Question</w:t>
      </w:r>
    </w:p>
    <w:p w:rsidR="001A6C0B" w:rsidRPr="001D1E86" w:rsidRDefault="001A6C0B" w:rsidP="001A6C0B">
      <w:pPr>
        <w:pStyle w:val="1"/>
        <w:numPr>
          <w:ilvl w:val="0"/>
          <w:numId w:val="2"/>
        </w:numPr>
        <w:rPr>
          <w:sz w:val="24"/>
          <w:szCs w:val="24"/>
        </w:rPr>
      </w:pPr>
      <w:r w:rsidRPr="001D1E86">
        <w:rPr>
          <w:sz w:val="24"/>
          <w:szCs w:val="24"/>
        </w:rPr>
        <w:t>Moving from Your Question to Your Thesis</w:t>
      </w:r>
    </w:p>
    <w:p w:rsidR="001A6C0B" w:rsidRPr="001D1E86" w:rsidRDefault="001A6C0B" w:rsidP="001A6C0B">
      <w:pPr>
        <w:pStyle w:val="1"/>
        <w:numPr>
          <w:ilvl w:val="0"/>
          <w:numId w:val="2"/>
        </w:numPr>
        <w:rPr>
          <w:sz w:val="24"/>
          <w:szCs w:val="24"/>
        </w:rPr>
      </w:pPr>
      <w:r w:rsidRPr="001D1E86">
        <w:rPr>
          <w:sz w:val="24"/>
          <w:szCs w:val="24"/>
        </w:rPr>
        <w:t>A Checklist for Your Essays</w:t>
      </w:r>
    </w:p>
    <w:p w:rsidR="001A6C0B" w:rsidRDefault="001A6C0B" w:rsidP="001A6C0B">
      <w:pPr>
        <w:bidi w:val="0"/>
        <w:ind w:left="26"/>
        <w:rPr>
          <w:rFonts w:ascii="Arial" w:hAnsi="Arial" w:cs="Arial"/>
          <w:b/>
          <w:bCs/>
          <w:sz w:val="26"/>
          <w:rtl/>
        </w:rPr>
      </w:pPr>
      <w:r>
        <w:rPr>
          <w:rFonts w:ascii="Arial" w:hAnsi="Arial" w:cs="Arial"/>
          <w:b/>
          <w:bCs/>
          <w:sz w:val="26"/>
        </w:rPr>
        <w:t>Course requirements</w:t>
      </w:r>
    </w:p>
    <w:p w:rsidR="001A6C0B" w:rsidRDefault="001A6C0B" w:rsidP="001A6C0B">
      <w:pPr>
        <w:numPr>
          <w:ilvl w:val="0"/>
          <w:numId w:val="1"/>
        </w:numPr>
        <w:bidi w:val="0"/>
        <w:ind w:right="360"/>
      </w:pPr>
      <w:r>
        <w:t xml:space="preserve">Regular attendance - a maximum of three absences will be allowed per semester, </w:t>
      </w:r>
      <w:r>
        <w:rPr>
          <w:u w:val="single"/>
        </w:rPr>
        <w:t>including</w:t>
      </w:r>
      <w:r w:rsidRPr="00C10724">
        <w:t xml:space="preserve"> </w:t>
      </w:r>
      <w:r>
        <w:t>absences due to illness. Excessive absences will result either in lowering of your grade or in no credit for the course.</w:t>
      </w:r>
    </w:p>
    <w:p w:rsidR="001A6C0B" w:rsidRPr="003E4188" w:rsidRDefault="001A6C0B" w:rsidP="001A6C0B">
      <w:pPr>
        <w:numPr>
          <w:ilvl w:val="0"/>
          <w:numId w:val="1"/>
        </w:numPr>
        <w:bidi w:val="0"/>
        <w:ind w:right="360"/>
      </w:pPr>
      <w:r>
        <w:t>Two late appearances will constitute one absence.</w:t>
      </w:r>
    </w:p>
    <w:p w:rsidR="001A6C0B" w:rsidRDefault="001A6C0B" w:rsidP="001A6C0B">
      <w:pPr>
        <w:numPr>
          <w:ilvl w:val="0"/>
          <w:numId w:val="1"/>
        </w:numPr>
        <w:bidi w:val="0"/>
        <w:ind w:right="360"/>
        <w:rPr>
          <w:b/>
          <w:bCs/>
          <w:sz w:val="28"/>
        </w:rPr>
      </w:pPr>
      <w:r>
        <w:t>All writing assignments must be submitted on the announced due date. Late papers will be docked at least one full letter grade. If you cannot attend class on the day a paper is due, be sure to have someone else bring the paper to class for you.</w:t>
      </w:r>
    </w:p>
    <w:p w:rsidR="001A6C0B" w:rsidRDefault="001A6C0B" w:rsidP="001A6C0B">
      <w:pPr>
        <w:numPr>
          <w:ilvl w:val="0"/>
          <w:numId w:val="1"/>
        </w:numPr>
        <w:bidi w:val="0"/>
        <w:ind w:right="360"/>
        <w:rPr>
          <w:b/>
          <w:bCs/>
          <w:sz w:val="28"/>
        </w:rPr>
      </w:pPr>
      <w:r>
        <w:t>Participation in class discussion.</w:t>
      </w:r>
    </w:p>
    <w:p w:rsidR="001A6C0B" w:rsidRDefault="001A6C0B" w:rsidP="001A6C0B">
      <w:pPr>
        <w:bidi w:val="0"/>
        <w:rPr>
          <w:rFonts w:ascii="Arial" w:hAnsi="Arial" w:cs="Arial"/>
          <w:b/>
          <w:bCs/>
        </w:rPr>
      </w:pPr>
      <w:r>
        <w:rPr>
          <w:rFonts w:ascii="Arial" w:hAnsi="Arial" w:cs="Arial"/>
          <w:b/>
          <w:bCs/>
          <w:rtl/>
        </w:rPr>
        <w:t xml:space="preserve">     </w:t>
      </w:r>
    </w:p>
    <w:p w:rsidR="001A6C0B" w:rsidRDefault="001A6C0B" w:rsidP="001A6C0B">
      <w:pPr>
        <w:bidi w:val="0"/>
        <w:rPr>
          <w:rFonts w:ascii="Arial" w:hAnsi="Arial" w:cs="Arial"/>
          <w:rtl/>
        </w:rPr>
      </w:pPr>
      <w:r>
        <w:rPr>
          <w:rFonts w:ascii="Arial" w:hAnsi="Arial" w:cs="Arial"/>
          <w:b/>
          <w:bCs/>
          <w:sz w:val="28"/>
        </w:rPr>
        <w:br w:type="page"/>
      </w:r>
      <w:r>
        <w:rPr>
          <w:rFonts w:ascii="Arial" w:hAnsi="Arial" w:cs="Arial"/>
          <w:b/>
          <w:bCs/>
          <w:sz w:val="28"/>
        </w:rPr>
        <w:lastRenderedPageBreak/>
        <w:t>Required textbooks, other textbooks</w:t>
      </w:r>
    </w:p>
    <w:p w:rsidR="001A6C0B" w:rsidRDefault="001A6C0B" w:rsidP="001A6C0B">
      <w:pPr>
        <w:bidi w:val="0"/>
        <w:ind w:left="226" w:firstLine="26"/>
        <w:rPr>
          <w:rFonts w:ascii="Arial" w:hAnsi="Arial" w:cs="Arial"/>
          <w:b/>
          <w:bCs/>
          <w:rtl/>
        </w:rPr>
      </w:pPr>
    </w:p>
    <w:p w:rsidR="001A6C0B" w:rsidRDefault="001A6C0B" w:rsidP="001A6C0B">
      <w:pPr>
        <w:bidi w:val="0"/>
        <w:rPr>
          <w:i/>
        </w:rPr>
      </w:pPr>
      <w:r>
        <w:rPr>
          <w:i/>
          <w:iCs/>
        </w:rPr>
        <w:t xml:space="preserve">MLA Handbook for Writers of Research Papers, by </w:t>
      </w:r>
      <w:r w:rsidRPr="00CB3BFA">
        <w:rPr>
          <w:iCs/>
        </w:rPr>
        <w:t xml:space="preserve">Joseph </w:t>
      </w:r>
      <w:proofErr w:type="spellStart"/>
      <w:r w:rsidRPr="00CB3BFA">
        <w:rPr>
          <w:iCs/>
        </w:rPr>
        <w:t>Gibaldi</w:t>
      </w:r>
      <w:proofErr w:type="spellEnd"/>
      <w:r w:rsidRPr="00CB3BFA">
        <w:rPr>
          <w:iCs/>
        </w:rPr>
        <w:t>,</w:t>
      </w:r>
      <w:r>
        <w:rPr>
          <w:i/>
          <w:iCs/>
        </w:rPr>
        <w:t xml:space="preserve"> </w:t>
      </w:r>
      <w:proofErr w:type="gramStart"/>
      <w:r>
        <w:rPr>
          <w:i/>
          <w:iCs/>
        </w:rPr>
        <w:t>The</w:t>
      </w:r>
      <w:proofErr w:type="gramEnd"/>
      <w:r>
        <w:rPr>
          <w:i/>
          <w:iCs/>
        </w:rPr>
        <w:t xml:space="preserve"> Modern Language Association of American, </w:t>
      </w:r>
      <w:r w:rsidRPr="001D1E86">
        <w:rPr>
          <w:i/>
        </w:rPr>
        <w:t>Sixth</w:t>
      </w:r>
      <w:r>
        <w:rPr>
          <w:i/>
        </w:rPr>
        <w:t xml:space="preserve"> Edition, 2008.</w:t>
      </w:r>
    </w:p>
    <w:p w:rsidR="001A6C0B" w:rsidRDefault="001A6C0B" w:rsidP="001A6C0B">
      <w:pPr>
        <w:bidi w:val="0"/>
      </w:pPr>
    </w:p>
    <w:p w:rsidR="001A6C0B" w:rsidRPr="00B0314F" w:rsidRDefault="001A6C0B" w:rsidP="001A6C0B">
      <w:pPr>
        <w:bidi w:val="0"/>
        <w:rPr>
          <w:b/>
          <w:bCs/>
          <w:sz w:val="28"/>
        </w:rPr>
      </w:pPr>
      <w:r>
        <w:rPr>
          <w:i/>
          <w:iCs/>
        </w:rPr>
        <w:t>Merriam-Webster Dictionary and Thesaurus, Merriam Webster Inc</w:t>
      </w:r>
      <w:proofErr w:type="gramStart"/>
      <w:r>
        <w:rPr>
          <w:i/>
          <w:iCs/>
        </w:rPr>
        <w:t>.,</w:t>
      </w:r>
      <w:proofErr w:type="gramEnd"/>
      <w:r>
        <w:rPr>
          <w:i/>
          <w:iCs/>
        </w:rPr>
        <w:t xml:space="preserve"> May 2007.  </w:t>
      </w:r>
    </w:p>
    <w:p w:rsidR="001A6C0B" w:rsidRDefault="001A6C0B" w:rsidP="001A6C0B">
      <w:pPr>
        <w:bidi w:val="0"/>
      </w:pPr>
    </w:p>
    <w:p w:rsidR="001A6C0B" w:rsidRDefault="001A6C0B" w:rsidP="001A6C0B">
      <w:pPr>
        <w:bidi w:val="0"/>
      </w:pPr>
    </w:p>
    <w:p w:rsidR="001A6C0B" w:rsidRDefault="001A6C0B" w:rsidP="001A6C0B">
      <w:pPr>
        <w:bidi w:val="0"/>
      </w:pPr>
    </w:p>
    <w:p w:rsidR="00B827DB" w:rsidRPr="001A6C0B" w:rsidRDefault="00B827DB"/>
    <w:sectPr w:rsidR="00B827DB" w:rsidRPr="001A6C0B" w:rsidSect="0070328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30F72"/>
    <w:multiLevelType w:val="hybridMultilevel"/>
    <w:tmpl w:val="B0DEA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32060D"/>
    <w:multiLevelType w:val="hybridMultilevel"/>
    <w:tmpl w:val="527E1556"/>
    <w:lvl w:ilvl="0" w:tplc="0798C16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C0B"/>
    <w:rsid w:val="001A6C0B"/>
    <w:rsid w:val="002D5300"/>
    <w:rsid w:val="00B827DB"/>
    <w:rsid w:val="00DE6C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C0B"/>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פיסקת רשימה1"/>
    <w:basedOn w:val="a"/>
    <w:qFormat/>
    <w:rsid w:val="001A6C0B"/>
    <w:pPr>
      <w:bidi w:val="0"/>
      <w:spacing w:after="200" w:line="276" w:lineRule="auto"/>
      <w:ind w:left="720"/>
      <w:contextualSpacing/>
    </w:pPr>
    <w:rPr>
      <w:rFonts w:ascii="Calibri" w:eastAsia="Calibri" w:hAnsi="Calibri" w:cs="Arial"/>
      <w:sz w:val="22"/>
      <w:szCs w:val="22"/>
      <w:lang w:bidi="ar-SA"/>
    </w:rPr>
  </w:style>
  <w:style w:type="paragraph" w:styleId="a3">
    <w:name w:val="Balloon Text"/>
    <w:basedOn w:val="a"/>
    <w:link w:val="a4"/>
    <w:uiPriority w:val="99"/>
    <w:semiHidden/>
    <w:unhideWhenUsed/>
    <w:rsid w:val="001A6C0B"/>
    <w:rPr>
      <w:rFonts w:ascii="Tahoma" w:hAnsi="Tahoma" w:cs="Tahoma"/>
      <w:sz w:val="16"/>
      <w:szCs w:val="16"/>
    </w:rPr>
  </w:style>
  <w:style w:type="character" w:customStyle="1" w:styleId="a4">
    <w:name w:val="טקסט בלונים תו"/>
    <w:basedOn w:val="a0"/>
    <w:link w:val="a3"/>
    <w:uiPriority w:val="99"/>
    <w:semiHidden/>
    <w:rsid w:val="001A6C0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C0B"/>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פיסקת רשימה1"/>
    <w:basedOn w:val="a"/>
    <w:qFormat/>
    <w:rsid w:val="001A6C0B"/>
    <w:pPr>
      <w:bidi w:val="0"/>
      <w:spacing w:after="200" w:line="276" w:lineRule="auto"/>
      <w:ind w:left="720"/>
      <w:contextualSpacing/>
    </w:pPr>
    <w:rPr>
      <w:rFonts w:ascii="Calibri" w:eastAsia="Calibri" w:hAnsi="Calibri" w:cs="Arial"/>
      <w:sz w:val="22"/>
      <w:szCs w:val="22"/>
      <w:lang w:bidi="ar-SA"/>
    </w:rPr>
  </w:style>
  <w:style w:type="paragraph" w:styleId="a3">
    <w:name w:val="Balloon Text"/>
    <w:basedOn w:val="a"/>
    <w:link w:val="a4"/>
    <w:uiPriority w:val="99"/>
    <w:semiHidden/>
    <w:unhideWhenUsed/>
    <w:rsid w:val="001A6C0B"/>
    <w:rPr>
      <w:rFonts w:ascii="Tahoma" w:hAnsi="Tahoma" w:cs="Tahoma"/>
      <w:sz w:val="16"/>
      <w:szCs w:val="16"/>
    </w:rPr>
  </w:style>
  <w:style w:type="character" w:customStyle="1" w:styleId="a4">
    <w:name w:val="טקסט בלונים תו"/>
    <w:basedOn w:val="a0"/>
    <w:link w:val="a3"/>
    <w:uiPriority w:val="99"/>
    <w:semiHidden/>
    <w:rsid w:val="001A6C0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272</Words>
  <Characters>1361</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Alyta Pitaru</dc:creator>
  <cp:lastModifiedBy>Alyta Pitaru</cp:lastModifiedBy>
  <cp:revision>2</cp:revision>
  <dcterms:created xsi:type="dcterms:W3CDTF">2013-03-11T08:11:00Z</dcterms:created>
  <dcterms:modified xsi:type="dcterms:W3CDTF">2014-02-18T09:07:00Z</dcterms:modified>
</cp:coreProperties>
</file>