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10" w:rsidRPr="00797552" w:rsidRDefault="00176A10" w:rsidP="00176A10">
      <w:pPr>
        <w:bidi w:val="0"/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619FF55B" wp14:editId="50949BF1">
            <wp:extent cx="838200" cy="6477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</w:t>
      </w:r>
      <w:r>
        <w:rPr>
          <w:rFonts w:ascii="Arial" w:hAnsi="Arial" w:cs="Tahoma"/>
          <w:bCs/>
          <w:rtl/>
        </w:rPr>
        <w:t xml:space="preserve">                                  </w:t>
      </w:r>
      <w:r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Sep. 201</w:t>
      </w:r>
      <w:r>
        <w:rPr>
          <w:rFonts w:ascii="Arial" w:hAnsi="Arial" w:cs="Tahoma"/>
          <w:bCs/>
        </w:rPr>
        <w:t>5</w:t>
      </w:r>
    </w:p>
    <w:p w:rsidR="00176A10" w:rsidRDefault="00176A10" w:rsidP="00176A10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>
        <w:rPr>
          <w:rFonts w:ascii="Arial" w:hAnsi="Arial" w:cs="Tahoma"/>
          <w:bCs/>
          <w:sz w:val="36"/>
          <w:szCs w:val="36"/>
          <w:rtl/>
        </w:rPr>
        <w:t>:</w:t>
      </w:r>
    </w:p>
    <w:p w:rsidR="00176A10" w:rsidRPr="00797552" w:rsidRDefault="00176A10" w:rsidP="00176A10">
      <w:pPr>
        <w:bidi w:val="0"/>
        <w:spacing w:line="360" w:lineRule="auto"/>
        <w:jc w:val="center"/>
        <w:rPr>
          <w:rFonts w:ascii="Arial" w:hAnsi="Arial" w:cs="Arial"/>
        </w:rPr>
      </w:pPr>
      <w:r w:rsidRPr="00797552">
        <w:rPr>
          <w:sz w:val="28"/>
        </w:rPr>
        <w:t>English Composition</w:t>
      </w:r>
      <w:bookmarkStart w:id="0" w:name="_GoBack"/>
      <w:bookmarkEnd w:id="0"/>
    </w:p>
    <w:p w:rsidR="00176A10" w:rsidRPr="00797552" w:rsidRDefault="00176A10" w:rsidP="00176A10">
      <w:pPr>
        <w:bidi w:val="0"/>
        <w:spacing w:line="360" w:lineRule="auto"/>
        <w:jc w:val="center"/>
        <w:rPr>
          <w:rFonts w:ascii="Arial" w:hAnsi="Arial" w:cs="Arial"/>
          <w:rtl/>
        </w:rPr>
      </w:pPr>
      <w:r w:rsidRPr="00797552">
        <w:rPr>
          <w:rFonts w:ascii="Arial" w:hAnsi="Arial" w:cs="Arial"/>
        </w:rPr>
        <w:t xml:space="preserve">37-098-03/04  </w:t>
      </w:r>
    </w:p>
    <w:p w:rsidR="00176A10" w:rsidRDefault="00176A10" w:rsidP="00176A10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176A10" w:rsidRPr="00797552" w:rsidRDefault="00176A10" w:rsidP="00176A10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Year of Studies: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-201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  <w:bCs/>
        </w:rPr>
        <w:t xml:space="preserve">      Semester: </w:t>
      </w:r>
      <w:r>
        <w:rPr>
          <w:rFonts w:ascii="Arial" w:hAnsi="Arial" w:cs="Arial"/>
        </w:rPr>
        <w:t>Fall</w:t>
      </w:r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</w:rPr>
        <w:t>Spring</w:t>
      </w:r>
      <w:r>
        <w:rPr>
          <w:rFonts w:ascii="Arial" w:hAnsi="Arial" w:cs="Arial"/>
          <w:b/>
          <w:bCs/>
        </w:rPr>
        <w:t xml:space="preserve">       Hours/credits: </w:t>
      </w:r>
      <w:r>
        <w:rPr>
          <w:rFonts w:ascii="Arial" w:hAnsi="Arial" w:cs="Arial"/>
        </w:rPr>
        <w:t>3</w:t>
      </w:r>
    </w:p>
    <w:p w:rsidR="00176A10" w:rsidRDefault="00176A10" w:rsidP="00176A10">
      <w:pPr>
        <w:bidi w:val="0"/>
      </w:pPr>
    </w:p>
    <w:p w:rsidR="00176A10" w:rsidRDefault="00176A10" w:rsidP="00176A10">
      <w:pPr>
        <w:bidi w:val="0"/>
        <w:rPr>
          <w:sz w:val="28"/>
        </w:rPr>
      </w:pPr>
      <w:r>
        <w:rPr>
          <w:b/>
          <w:bCs/>
          <w:sz w:val="28"/>
        </w:rPr>
        <w:t>Course Description:</w:t>
      </w:r>
    </w:p>
    <w:p w:rsidR="00176A10" w:rsidRDefault="00176A10" w:rsidP="00176A10">
      <w:pPr>
        <w:bidi w:val="0"/>
        <w:rPr>
          <w:b/>
          <w:bCs/>
          <w:sz w:val="28"/>
        </w:rPr>
      </w:pPr>
      <w:r>
        <w:rPr>
          <w:sz w:val="28"/>
        </w:rPr>
        <w:t xml:space="preserve">1. </w:t>
      </w:r>
      <w:r>
        <w:rPr>
          <w:b/>
          <w:bCs/>
          <w:sz w:val="28"/>
        </w:rPr>
        <w:t xml:space="preserve">Scope of course: </w:t>
      </w:r>
    </w:p>
    <w:p w:rsidR="00176A10" w:rsidRDefault="00176A10" w:rsidP="00176A10">
      <w:pPr>
        <w:bidi w:val="0"/>
      </w:pPr>
      <w:r>
        <w:t>Students concentrate on developing their own personal voices as writers. This is accomplished by gaining experience in various forms of composition, such as writing about personal events in their lives,</w:t>
      </w:r>
      <w:r w:rsidRPr="00296125">
        <w:t xml:space="preserve"> </w:t>
      </w:r>
      <w:r>
        <w:t>and writing essays and research papers. Along the way, students develop an understanding of syntax, grammar, tone, diction and organization. Students will be required to write four essays.</w:t>
      </w:r>
    </w:p>
    <w:p w:rsidR="00176A10" w:rsidRDefault="00176A10" w:rsidP="00176A10">
      <w:pPr>
        <w:bidi w:val="0"/>
      </w:pPr>
    </w:p>
    <w:p w:rsidR="00176A10" w:rsidRDefault="00176A10" w:rsidP="00176A10">
      <w:pPr>
        <w:jc w:val="right"/>
      </w:pPr>
      <w:r>
        <w:t>The lectures will include the following topics –</w:t>
      </w:r>
    </w:p>
    <w:p w:rsidR="00176A10" w:rsidRDefault="00176A10" w:rsidP="00176A10">
      <w:pPr>
        <w:jc w:val="right"/>
      </w:pPr>
    </w:p>
    <w:p w:rsidR="00176A10" w:rsidRDefault="00176A10" w:rsidP="00176A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Community of Scholars</w:t>
      </w:r>
    </w:p>
    <w:p w:rsidR="00176A10" w:rsidRDefault="00176A10" w:rsidP="00176A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Betrayal of Plagiarism</w:t>
      </w:r>
    </w:p>
    <w:p w:rsidR="00176A10" w:rsidRDefault="00176A10" w:rsidP="00176A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Proper Documentation</w:t>
      </w:r>
    </w:p>
    <w:p w:rsidR="00176A10" w:rsidRDefault="00176A10" w:rsidP="00176A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Quotation</w:t>
      </w:r>
    </w:p>
    <w:p w:rsidR="00176A10" w:rsidRDefault="00176A10" w:rsidP="00176A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Paraphrase and the Summary</w:t>
      </w:r>
    </w:p>
    <w:p w:rsidR="00176A10" w:rsidRDefault="00176A10" w:rsidP="00176A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Best Use of Resources</w:t>
      </w:r>
    </w:p>
    <w:p w:rsidR="00176A10" w:rsidRDefault="00176A10" w:rsidP="00176A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MLA Style</w:t>
      </w:r>
    </w:p>
    <w:p w:rsidR="00176A10" w:rsidRDefault="00176A10" w:rsidP="00176A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Common Conventions</w:t>
      </w:r>
    </w:p>
    <w:p w:rsidR="00176A10" w:rsidRDefault="00176A10" w:rsidP="00176A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 Writing</w:t>
      </w:r>
    </w:p>
    <w:p w:rsidR="00176A10" w:rsidRDefault="00176A10" w:rsidP="00176A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Pick a Good Question</w:t>
      </w:r>
    </w:p>
    <w:p w:rsidR="00176A10" w:rsidRDefault="00176A10" w:rsidP="00176A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Moving from Your Question to Your Thesis</w:t>
      </w:r>
    </w:p>
    <w:p w:rsidR="00176A10" w:rsidRDefault="00176A10" w:rsidP="00176A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Checklist for Your Essays</w:t>
      </w:r>
    </w:p>
    <w:p w:rsidR="00176A10" w:rsidRDefault="00176A10" w:rsidP="00176A10">
      <w:pPr>
        <w:bidi w:val="0"/>
      </w:pPr>
      <w:r>
        <w:rPr>
          <w:b/>
          <w:bCs/>
          <w:sz w:val="28"/>
        </w:rPr>
        <w:t xml:space="preserve">2. Required text: (Please purchase books in the U.S. </w:t>
      </w:r>
      <w:r>
        <w:rPr>
          <w:b/>
          <w:bCs/>
          <w:sz w:val="28"/>
          <w:u w:val="single"/>
        </w:rPr>
        <w:t>before</w:t>
      </w:r>
      <w:r>
        <w:rPr>
          <w:b/>
          <w:bCs/>
          <w:sz w:val="28"/>
        </w:rPr>
        <w:t xml:space="preserve"> you come to Israel. No student can enter the class without the books):</w:t>
      </w:r>
      <w:r>
        <w:t xml:space="preserve"> </w:t>
      </w:r>
    </w:p>
    <w:p w:rsidR="00176A10" w:rsidRPr="000357C6" w:rsidRDefault="00176A10" w:rsidP="00176A10">
      <w:pPr>
        <w:bidi w:val="0"/>
      </w:pPr>
    </w:p>
    <w:p w:rsidR="00176A10" w:rsidRDefault="00176A10" w:rsidP="00176A10">
      <w:pPr>
        <w:bidi w:val="0"/>
        <w:rPr>
          <w:i/>
          <w:iCs/>
        </w:rPr>
      </w:pPr>
      <w:proofErr w:type="gramStart"/>
      <w:r w:rsidRPr="00B0314F">
        <w:rPr>
          <w:i/>
          <w:iCs/>
        </w:rPr>
        <w:t xml:space="preserve">On Writing Well, </w:t>
      </w:r>
      <w:r>
        <w:rPr>
          <w:i/>
          <w:iCs/>
        </w:rPr>
        <w:t>30</w:t>
      </w:r>
      <w:r w:rsidRPr="00B0314F">
        <w:rPr>
          <w:i/>
          <w:iCs/>
          <w:vertAlign w:val="superscript"/>
        </w:rPr>
        <w:t>th</w:t>
      </w:r>
      <w:r w:rsidRPr="00B0314F">
        <w:rPr>
          <w:i/>
          <w:iCs/>
        </w:rPr>
        <w:t xml:space="preserve"> Anniversary</w:t>
      </w:r>
      <w:r>
        <w:rPr>
          <w:i/>
          <w:iCs/>
        </w:rPr>
        <w:t xml:space="preserve"> Edition</w:t>
      </w:r>
      <w:r w:rsidRPr="00B0314F">
        <w:rPr>
          <w:i/>
          <w:iCs/>
        </w:rPr>
        <w:t>: The Classic Guide to Writing Nonfiction, William Zinsser</w:t>
      </w:r>
      <w:r>
        <w:rPr>
          <w:i/>
          <w:iCs/>
        </w:rPr>
        <w:t>, 2006.</w:t>
      </w:r>
      <w:proofErr w:type="gramEnd"/>
      <w:r w:rsidRPr="00296125">
        <w:rPr>
          <w:i/>
          <w:iCs/>
        </w:rPr>
        <w:t xml:space="preserve"> </w:t>
      </w:r>
    </w:p>
    <w:p w:rsidR="00176A10" w:rsidRDefault="00176A10" w:rsidP="00176A10">
      <w:pPr>
        <w:bidi w:val="0"/>
        <w:rPr>
          <w:i/>
          <w:iCs/>
        </w:rPr>
      </w:pPr>
    </w:p>
    <w:p w:rsidR="00176A10" w:rsidRDefault="00176A10" w:rsidP="00176A10">
      <w:pPr>
        <w:bidi w:val="0"/>
        <w:rPr>
          <w:b/>
          <w:bCs/>
          <w:sz w:val="28"/>
        </w:rPr>
      </w:pPr>
      <w:r>
        <w:rPr>
          <w:i/>
          <w:iCs/>
        </w:rPr>
        <w:t>Merriam-Webster Dictionary and Thesaurus, Merriam Webster Inc</w:t>
      </w:r>
      <w:proofErr w:type="gramStart"/>
      <w:r>
        <w:rPr>
          <w:i/>
          <w:iCs/>
        </w:rPr>
        <w:t>.,</w:t>
      </w:r>
      <w:proofErr w:type="gramEnd"/>
      <w:r>
        <w:rPr>
          <w:i/>
          <w:iCs/>
        </w:rPr>
        <w:t xml:space="preserve"> May 2007.  </w:t>
      </w:r>
    </w:p>
    <w:p w:rsidR="00176A10" w:rsidRDefault="00176A10" w:rsidP="00176A10">
      <w:pPr>
        <w:bidi w:val="0"/>
        <w:spacing w:after="200"/>
        <w:jc w:val="righ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176A10" w:rsidRPr="00B0314F" w:rsidRDefault="00176A10" w:rsidP="00176A10">
      <w:pPr>
        <w:bidi w:val="0"/>
        <w:ind w:left="720" w:right="360"/>
        <w:rPr>
          <w:b/>
          <w:bCs/>
          <w:sz w:val="28"/>
        </w:rPr>
      </w:pPr>
    </w:p>
    <w:p w:rsidR="00176A10" w:rsidRDefault="00176A10" w:rsidP="00176A10">
      <w:pPr>
        <w:bidi w:val="0"/>
      </w:pPr>
      <w:r>
        <w:rPr>
          <w:b/>
          <w:bCs/>
          <w:sz w:val="28"/>
        </w:rPr>
        <w:t>3. Other requirements:</w:t>
      </w:r>
    </w:p>
    <w:p w:rsidR="00176A10" w:rsidRDefault="00176A10" w:rsidP="00176A10">
      <w:pPr>
        <w:numPr>
          <w:ilvl w:val="0"/>
          <w:numId w:val="1"/>
        </w:numPr>
        <w:bidi w:val="0"/>
        <w:ind w:right="360"/>
      </w:pPr>
      <w:r>
        <w:t xml:space="preserve">Regular attendance - a maximum of three absences will be allowed per semester, </w:t>
      </w:r>
      <w:r>
        <w:rPr>
          <w:u w:val="single"/>
        </w:rPr>
        <w:t>including</w:t>
      </w:r>
      <w:r w:rsidRPr="00C10724">
        <w:t xml:space="preserve"> </w:t>
      </w:r>
      <w:r>
        <w:t>absences due to illness. Excessive absences will result either in lowering of your course grade or in no credit for the course.</w:t>
      </w:r>
    </w:p>
    <w:p w:rsidR="00176A10" w:rsidRPr="003E4188" w:rsidRDefault="00176A10" w:rsidP="00176A10">
      <w:pPr>
        <w:numPr>
          <w:ilvl w:val="0"/>
          <w:numId w:val="1"/>
        </w:numPr>
        <w:bidi w:val="0"/>
        <w:ind w:right="360"/>
      </w:pPr>
      <w:r>
        <w:t>Two late appearances will constitute one absence.</w:t>
      </w:r>
    </w:p>
    <w:p w:rsidR="00176A10" w:rsidRDefault="00176A10" w:rsidP="00176A10">
      <w:pPr>
        <w:numPr>
          <w:ilvl w:val="0"/>
          <w:numId w:val="1"/>
        </w:numPr>
        <w:bidi w:val="0"/>
        <w:ind w:right="360"/>
        <w:rPr>
          <w:b/>
          <w:bCs/>
          <w:sz w:val="28"/>
        </w:rPr>
      </w:pPr>
      <w:r>
        <w:t>All writing assignments must be submitted on the announced due date. Late papers will be docked at least one full letter grade. If you cannot attend class on the day a paper is due, be sure to have someone else bring the paper to class for you.</w:t>
      </w:r>
    </w:p>
    <w:p w:rsidR="00176A10" w:rsidRDefault="00176A10" w:rsidP="00176A10">
      <w:pPr>
        <w:numPr>
          <w:ilvl w:val="0"/>
          <w:numId w:val="1"/>
        </w:numPr>
        <w:bidi w:val="0"/>
        <w:ind w:right="360"/>
        <w:rPr>
          <w:b/>
          <w:bCs/>
          <w:sz w:val="28"/>
        </w:rPr>
      </w:pPr>
      <w:r>
        <w:t>Participation in class discussion.</w:t>
      </w:r>
    </w:p>
    <w:p w:rsidR="00176A10" w:rsidRDefault="00176A10" w:rsidP="00176A10">
      <w:pPr>
        <w:bidi w:val="0"/>
        <w:jc w:val="center"/>
        <w:rPr>
          <w:sz w:val="32"/>
          <w:u w:val="single"/>
        </w:rPr>
      </w:pPr>
    </w:p>
    <w:p w:rsidR="00176A10" w:rsidRDefault="00176A10" w:rsidP="00176A10">
      <w:pPr>
        <w:bidi w:val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76A10" w:rsidRDefault="00176A10" w:rsidP="00176A10">
      <w:pPr>
        <w:bidi w:val="0"/>
        <w:rPr>
          <w:b/>
          <w:bCs/>
          <w:sz w:val="28"/>
        </w:rPr>
      </w:pPr>
    </w:p>
    <w:p w:rsidR="00176A10" w:rsidRPr="00787076" w:rsidRDefault="00176A10" w:rsidP="00176A10">
      <w:pPr>
        <w:bidi w:val="0"/>
        <w:ind w:left="26"/>
      </w:pPr>
    </w:p>
    <w:p w:rsidR="002A64CD" w:rsidRDefault="002A64CD"/>
    <w:sectPr w:rsidR="002A64CD" w:rsidSect="007032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0F72"/>
    <w:multiLevelType w:val="hybridMultilevel"/>
    <w:tmpl w:val="B0DEA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2060D"/>
    <w:multiLevelType w:val="hybridMultilevel"/>
    <w:tmpl w:val="527E1556"/>
    <w:lvl w:ilvl="0" w:tplc="0798C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10"/>
    <w:rsid w:val="00176A10"/>
    <w:rsid w:val="002A64CD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0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1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76A1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76A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0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1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76A1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76A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1</cp:revision>
  <dcterms:created xsi:type="dcterms:W3CDTF">2015-09-21T05:44:00Z</dcterms:created>
  <dcterms:modified xsi:type="dcterms:W3CDTF">2015-09-21T05:46:00Z</dcterms:modified>
</cp:coreProperties>
</file>