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66A" w:rsidRPr="002D7256" w:rsidRDefault="00D1366A" w:rsidP="00D1366A">
      <w:pPr>
        <w:bidi w:val="0"/>
        <w:spacing w:line="360" w:lineRule="auto"/>
        <w:jc w:val="center"/>
        <w:rPr>
          <w:rFonts w:ascii="Arial" w:hAnsi="Arial" w:cs="Tahoma"/>
          <w:bCs/>
        </w:rPr>
      </w:pPr>
      <w:r>
        <w:rPr>
          <w:rFonts w:ascii="Arial" w:hAnsi="Arial" w:cs="Tahoma"/>
          <w:bCs/>
          <w:sz w:val="36"/>
          <w:szCs w:val="36"/>
          <w:rtl/>
        </w:rPr>
        <w:t xml:space="preserve">     </w:t>
      </w:r>
      <w:r>
        <w:rPr>
          <w:rFonts w:ascii="Arial" w:hAnsi="Arial" w:cs="Tahoma"/>
          <w:bCs/>
          <w:noProof/>
          <w:sz w:val="36"/>
          <w:szCs w:val="36"/>
        </w:rPr>
        <w:drawing>
          <wp:inline distT="0" distB="0" distL="0" distR="0" wp14:anchorId="1E2F42A0" wp14:editId="161BBA7C">
            <wp:extent cx="836295" cy="644525"/>
            <wp:effectExtent l="0" t="0" r="1905" b="3175"/>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6295" cy="644525"/>
                    </a:xfrm>
                    <a:prstGeom prst="rect">
                      <a:avLst/>
                    </a:prstGeom>
                    <a:noFill/>
                  </pic:spPr>
                </pic:pic>
              </a:graphicData>
            </a:graphic>
          </wp:inline>
        </w:drawing>
      </w:r>
      <w:r>
        <w:rPr>
          <w:rFonts w:ascii="Arial" w:hAnsi="Arial" w:cs="Tahoma"/>
          <w:bCs/>
          <w:sz w:val="36"/>
          <w:szCs w:val="36"/>
          <w:rtl/>
        </w:rPr>
        <w:t xml:space="preserve">                </w:t>
      </w:r>
      <w:r>
        <w:rPr>
          <w:rFonts w:ascii="Arial" w:hAnsi="Arial" w:cs="Tahoma"/>
          <w:bCs/>
          <w:rtl/>
        </w:rPr>
        <w:t xml:space="preserve">                             </w:t>
      </w:r>
      <w:r w:rsidRPr="00471474">
        <w:rPr>
          <w:rFonts w:ascii="Arial" w:hAnsi="Arial" w:cs="Tahoma"/>
          <w:b/>
        </w:rPr>
        <w:t>Date:</w:t>
      </w:r>
      <w:r>
        <w:rPr>
          <w:rFonts w:ascii="Arial" w:hAnsi="Arial" w:cs="Tahoma"/>
          <w:bCs/>
          <w:sz w:val="36"/>
          <w:szCs w:val="36"/>
        </w:rPr>
        <w:t xml:space="preserve"> </w:t>
      </w:r>
      <w:r>
        <w:rPr>
          <w:rFonts w:ascii="Arial" w:hAnsi="Arial" w:cs="Tahoma"/>
          <w:bCs/>
        </w:rPr>
        <w:t>Sep</w:t>
      </w:r>
      <w:r>
        <w:rPr>
          <w:rFonts w:ascii="Arial" w:hAnsi="Arial" w:cs="Tahoma"/>
          <w:bCs/>
        </w:rPr>
        <w:t>.</w:t>
      </w:r>
      <w:r>
        <w:rPr>
          <w:rFonts w:ascii="Arial" w:hAnsi="Arial" w:cs="Tahoma"/>
          <w:bCs/>
        </w:rPr>
        <w:t xml:space="preserve"> 201</w:t>
      </w:r>
      <w:r>
        <w:rPr>
          <w:rFonts w:ascii="Arial" w:hAnsi="Arial" w:cs="Tahoma"/>
          <w:bCs/>
        </w:rPr>
        <w:t>5</w:t>
      </w:r>
    </w:p>
    <w:p w:rsidR="00D1366A" w:rsidRDefault="00D1366A" w:rsidP="00D1366A">
      <w:pPr>
        <w:bidi w:val="0"/>
        <w:spacing w:line="360" w:lineRule="auto"/>
        <w:jc w:val="center"/>
        <w:rPr>
          <w:rFonts w:ascii="Arial" w:hAnsi="Arial" w:cs="Tahoma"/>
        </w:rPr>
      </w:pPr>
      <w:r>
        <w:rPr>
          <w:rFonts w:ascii="Arial" w:hAnsi="Arial" w:cs="Tahoma"/>
          <w:bCs/>
          <w:sz w:val="36"/>
          <w:szCs w:val="36"/>
        </w:rPr>
        <w:t>Course Name and Number</w:t>
      </w:r>
      <w:r w:rsidRPr="002E026B">
        <w:rPr>
          <w:rFonts w:ascii="Arial" w:hAnsi="Arial" w:cs="Tahoma"/>
          <w:bCs/>
          <w:sz w:val="36"/>
          <w:szCs w:val="36"/>
          <w:rtl/>
        </w:rPr>
        <w:t>:</w:t>
      </w:r>
    </w:p>
    <w:p w:rsidR="00D1366A" w:rsidRDefault="00D1366A" w:rsidP="00D1366A">
      <w:pPr>
        <w:bidi w:val="0"/>
        <w:spacing w:line="360" w:lineRule="auto"/>
        <w:jc w:val="center"/>
        <w:rPr>
          <w:rFonts w:ascii="Arial" w:hAnsi="Arial" w:cs="Tahoma"/>
        </w:rPr>
      </w:pPr>
      <w:bookmarkStart w:id="0" w:name="_GoBack"/>
      <w:r>
        <w:rPr>
          <w:rFonts w:ascii="Verdana" w:hAnsi="Verdana"/>
          <w:bCs/>
          <w:sz w:val="28"/>
          <w:szCs w:val="28"/>
        </w:rPr>
        <w:t>I</w:t>
      </w:r>
      <w:r w:rsidRPr="00A0052C">
        <w:rPr>
          <w:rFonts w:ascii="Verdana" w:hAnsi="Verdana"/>
          <w:bCs/>
          <w:sz w:val="28"/>
          <w:szCs w:val="28"/>
        </w:rPr>
        <w:t>ntroduct</w:t>
      </w:r>
      <w:r>
        <w:rPr>
          <w:rFonts w:ascii="Verdana" w:hAnsi="Verdana"/>
          <w:bCs/>
          <w:sz w:val="28"/>
          <w:szCs w:val="28"/>
        </w:rPr>
        <w:t>ion to Financial Economics</w:t>
      </w:r>
      <w:r>
        <w:rPr>
          <w:rFonts w:ascii="Arial" w:hAnsi="Arial" w:cs="Tahoma"/>
        </w:rPr>
        <w:t xml:space="preserve"> I</w:t>
      </w:r>
    </w:p>
    <w:bookmarkEnd w:id="0"/>
    <w:p w:rsidR="00D1366A" w:rsidRPr="002E026B" w:rsidRDefault="00D1366A" w:rsidP="00D1366A">
      <w:pPr>
        <w:bidi w:val="0"/>
        <w:spacing w:line="360" w:lineRule="auto"/>
        <w:jc w:val="center"/>
        <w:rPr>
          <w:rFonts w:ascii="Arial" w:hAnsi="Arial" w:cs="Tahoma"/>
          <w:rtl/>
        </w:rPr>
      </w:pPr>
      <w:r>
        <w:rPr>
          <w:rFonts w:ascii="Arial" w:hAnsi="Arial" w:cs="Tahoma"/>
        </w:rPr>
        <w:t>66-251-80</w:t>
      </w:r>
    </w:p>
    <w:p w:rsidR="00D1366A" w:rsidRPr="002E026B" w:rsidRDefault="00D1366A" w:rsidP="00D1366A">
      <w:pPr>
        <w:bidi w:val="0"/>
        <w:spacing w:line="360" w:lineRule="auto"/>
        <w:jc w:val="center"/>
        <w:rPr>
          <w:rFonts w:ascii="Arial" w:hAnsi="Arial" w:cs="Arial"/>
          <w:rtl/>
        </w:rPr>
      </w:pPr>
      <w:r>
        <w:rPr>
          <w:rFonts w:ascii="Arial" w:hAnsi="Arial" w:cs="Arial"/>
          <w:b/>
          <w:bCs/>
        </w:rPr>
        <w:t>Type of course</w:t>
      </w:r>
      <w:r w:rsidRPr="002E026B">
        <w:rPr>
          <w:rFonts w:ascii="Arial" w:hAnsi="Arial" w:cs="Arial"/>
          <w:b/>
          <w:bCs/>
          <w:rtl/>
        </w:rPr>
        <w:t>:</w:t>
      </w:r>
      <w:r>
        <w:rPr>
          <w:rFonts w:ascii="Arial" w:hAnsi="Arial" w:cs="Arial"/>
        </w:rPr>
        <w:t xml:space="preserve"> Lecture</w:t>
      </w:r>
    </w:p>
    <w:p w:rsidR="00D1366A" w:rsidRPr="002D7256" w:rsidRDefault="00D1366A" w:rsidP="00D1366A">
      <w:pPr>
        <w:bidi w:val="0"/>
        <w:spacing w:line="360" w:lineRule="auto"/>
        <w:rPr>
          <w:rFonts w:ascii="Arial" w:hAnsi="Arial" w:cs="Arial"/>
          <w:b/>
          <w:bCs/>
          <w:rtl/>
        </w:rPr>
      </w:pPr>
      <w:r>
        <w:rPr>
          <w:rFonts w:ascii="Arial" w:hAnsi="Arial" w:cs="Arial"/>
          <w:b/>
          <w:bCs/>
        </w:rPr>
        <w:t xml:space="preserve">Year of Studies:  </w:t>
      </w:r>
      <w:r w:rsidRPr="002D7256">
        <w:rPr>
          <w:rFonts w:ascii="Arial" w:hAnsi="Arial" w:cs="Arial"/>
        </w:rPr>
        <w:t>201</w:t>
      </w:r>
      <w:r>
        <w:rPr>
          <w:rFonts w:ascii="Arial" w:hAnsi="Arial" w:cs="Arial"/>
        </w:rPr>
        <w:t>5</w:t>
      </w:r>
      <w:r w:rsidRPr="002D7256">
        <w:rPr>
          <w:rFonts w:ascii="Arial" w:hAnsi="Arial" w:cs="Arial"/>
        </w:rPr>
        <w:t>-201</w:t>
      </w:r>
      <w:r>
        <w:rPr>
          <w:rFonts w:ascii="Arial" w:hAnsi="Arial" w:cs="Arial"/>
        </w:rPr>
        <w:t>6</w:t>
      </w:r>
      <w:r>
        <w:rPr>
          <w:rFonts w:ascii="Arial" w:hAnsi="Arial" w:cs="Arial"/>
          <w:b/>
          <w:bCs/>
        </w:rPr>
        <w:t xml:space="preserve"> Semester: </w:t>
      </w:r>
      <w:r w:rsidRPr="002D7256">
        <w:rPr>
          <w:rFonts w:ascii="Arial" w:hAnsi="Arial" w:cs="Arial"/>
        </w:rPr>
        <w:t>Fall</w:t>
      </w:r>
      <w:r>
        <w:rPr>
          <w:rFonts w:ascii="Arial" w:hAnsi="Arial" w:cs="Arial"/>
          <w:b/>
          <w:bCs/>
        </w:rPr>
        <w:t xml:space="preserve">            Hours/credits</w:t>
      </w:r>
      <w:r>
        <w:rPr>
          <w:rFonts w:ascii="Arial" w:hAnsi="Arial" w:cs="Arial"/>
        </w:rPr>
        <w:t xml:space="preserve">: </w:t>
      </w:r>
      <w:r w:rsidRPr="002D7256">
        <w:rPr>
          <w:rFonts w:ascii="Arial" w:hAnsi="Arial" w:cs="Arial"/>
        </w:rPr>
        <w:t>3</w:t>
      </w:r>
    </w:p>
    <w:p w:rsidR="00D1366A" w:rsidRPr="002E026B" w:rsidRDefault="00D1366A" w:rsidP="00D1366A">
      <w:pPr>
        <w:bidi w:val="0"/>
        <w:spacing w:line="360" w:lineRule="auto"/>
        <w:rPr>
          <w:rFonts w:ascii="Arial" w:hAnsi="Arial" w:cs="Arial"/>
          <w:rtl/>
        </w:rPr>
      </w:pPr>
      <w:r w:rsidRPr="002E026B">
        <w:rPr>
          <w:rFonts w:ascii="Arial" w:hAnsi="Arial" w:cs="Arial"/>
          <w:rtl/>
        </w:rPr>
        <w:t xml:space="preserve"> </w:t>
      </w:r>
    </w:p>
    <w:p w:rsidR="00D1366A" w:rsidRDefault="00D1366A" w:rsidP="00D1366A">
      <w:pPr>
        <w:bidi w:val="0"/>
        <w:ind w:left="26"/>
        <w:rPr>
          <w:rFonts w:ascii="Arial" w:hAnsi="Arial" w:cs="Arial"/>
          <w:b/>
          <w:bCs/>
          <w:sz w:val="26"/>
          <w:szCs w:val="26"/>
          <w:rtl/>
        </w:rPr>
      </w:pPr>
      <w:r>
        <w:rPr>
          <w:rFonts w:ascii="Arial" w:hAnsi="Arial" w:cs="Arial"/>
          <w:b/>
          <w:bCs/>
          <w:sz w:val="26"/>
          <w:szCs w:val="26"/>
        </w:rPr>
        <w:t>The courses objectives: (Overall Objectives/ Specific Objectives)</w:t>
      </w:r>
    </w:p>
    <w:p w:rsidR="00D1366A" w:rsidRPr="00A0052C" w:rsidRDefault="00D1366A" w:rsidP="00D1366A">
      <w:pPr>
        <w:suppressAutoHyphens/>
        <w:jc w:val="right"/>
        <w:rPr>
          <w:rFonts w:ascii="Verdana" w:hAnsi="Verdana"/>
          <w:spacing w:val="-2"/>
        </w:rPr>
      </w:pPr>
      <w:r w:rsidRPr="00A0052C">
        <w:rPr>
          <w:rFonts w:ascii="Verdana" w:hAnsi="Verdana"/>
          <w:spacing w:val="-2"/>
        </w:rPr>
        <w:t xml:space="preserve">This course is intended to help the student learn to think carefully and productively about financial markets and financial aspects of entrepreneurship.  It will provide a survey of questions faced, and techniques used, by financial practitioners.  </w:t>
      </w:r>
    </w:p>
    <w:p w:rsidR="00D1366A" w:rsidRDefault="00D1366A" w:rsidP="00D1366A">
      <w:pPr>
        <w:suppressAutoHyphens/>
        <w:jc w:val="right"/>
        <w:rPr>
          <w:rFonts w:ascii="Verdana" w:hAnsi="Verdana"/>
          <w:spacing w:val="-2"/>
        </w:rPr>
      </w:pPr>
    </w:p>
    <w:p w:rsidR="00D1366A" w:rsidRPr="00EA4ACA" w:rsidRDefault="00D1366A" w:rsidP="00D1366A">
      <w:pPr>
        <w:suppressAutoHyphens/>
        <w:jc w:val="right"/>
        <w:rPr>
          <w:rFonts w:ascii="Verdana" w:hAnsi="Verdana"/>
          <w:b/>
          <w:bCs/>
          <w:spacing w:val="-2"/>
          <w:u w:val="single"/>
        </w:rPr>
      </w:pPr>
      <w:r w:rsidRPr="00EA4ACA">
        <w:rPr>
          <w:rFonts w:ascii="Verdana" w:hAnsi="Verdana"/>
          <w:b/>
          <w:bCs/>
          <w:spacing w:val="-2"/>
          <w:u w:val="single"/>
        </w:rPr>
        <w:t>Course Plan</w:t>
      </w:r>
    </w:p>
    <w:p w:rsidR="00D1366A" w:rsidRPr="00EA4ACA" w:rsidRDefault="00D1366A" w:rsidP="00D1366A">
      <w:pPr>
        <w:suppressAutoHyphens/>
        <w:jc w:val="right"/>
        <w:rPr>
          <w:rFonts w:ascii="Verdana" w:hAnsi="Verdana"/>
          <w:spacing w:val="-2"/>
        </w:rPr>
      </w:pPr>
    </w:p>
    <w:tbl>
      <w:tblPr>
        <w:tblStyle w:val="a3"/>
        <w:tblW w:w="0" w:type="auto"/>
        <w:jc w:val="center"/>
        <w:tblLook w:val="04A0" w:firstRow="1" w:lastRow="0" w:firstColumn="1" w:lastColumn="0" w:noHBand="0" w:noVBand="1"/>
      </w:tblPr>
      <w:tblGrid>
        <w:gridCol w:w="1167"/>
        <w:gridCol w:w="7355"/>
      </w:tblGrid>
      <w:tr w:rsidR="00D1366A" w:rsidRPr="00EA4ACA" w:rsidTr="00B9385A">
        <w:trPr>
          <w:jc w:val="center"/>
        </w:trPr>
        <w:tc>
          <w:tcPr>
            <w:tcW w:w="1101" w:type="dxa"/>
          </w:tcPr>
          <w:p w:rsidR="00D1366A" w:rsidRPr="00EA4ACA" w:rsidRDefault="00D1366A" w:rsidP="00B9385A">
            <w:pPr>
              <w:jc w:val="right"/>
              <w:rPr>
                <w:rFonts w:ascii="Verdana" w:hAnsi="Verdana"/>
              </w:rPr>
            </w:pPr>
            <w:r w:rsidRPr="00EA4ACA">
              <w:rPr>
                <w:rFonts w:ascii="Verdana" w:hAnsi="Verdana"/>
              </w:rPr>
              <w:t>Meeting</w:t>
            </w:r>
          </w:p>
        </w:tc>
        <w:tc>
          <w:tcPr>
            <w:tcW w:w="7755" w:type="dxa"/>
          </w:tcPr>
          <w:p w:rsidR="00D1366A" w:rsidRPr="00EA4ACA" w:rsidRDefault="00D1366A" w:rsidP="00B9385A">
            <w:pPr>
              <w:jc w:val="right"/>
              <w:rPr>
                <w:rFonts w:ascii="Verdana" w:hAnsi="Verdana"/>
              </w:rPr>
            </w:pPr>
            <w:r w:rsidRPr="00EA4ACA">
              <w:rPr>
                <w:rFonts w:ascii="Verdana" w:hAnsi="Verdana"/>
              </w:rPr>
              <w:t>Topic</w:t>
            </w:r>
          </w:p>
        </w:tc>
      </w:tr>
      <w:tr w:rsidR="00D1366A" w:rsidRPr="00EA4ACA" w:rsidTr="00B9385A">
        <w:trPr>
          <w:jc w:val="center"/>
        </w:trPr>
        <w:tc>
          <w:tcPr>
            <w:tcW w:w="1101" w:type="dxa"/>
          </w:tcPr>
          <w:p w:rsidR="00D1366A" w:rsidRPr="00EA4ACA" w:rsidRDefault="00D1366A" w:rsidP="00B9385A">
            <w:pPr>
              <w:jc w:val="right"/>
              <w:rPr>
                <w:rFonts w:ascii="Verdana" w:hAnsi="Verdana"/>
              </w:rPr>
            </w:pPr>
            <w:r w:rsidRPr="00EA4ACA">
              <w:rPr>
                <w:rFonts w:ascii="Verdana" w:hAnsi="Verdana"/>
              </w:rPr>
              <w:t>1</w:t>
            </w:r>
          </w:p>
        </w:tc>
        <w:tc>
          <w:tcPr>
            <w:tcW w:w="7755" w:type="dxa"/>
          </w:tcPr>
          <w:p w:rsidR="00D1366A" w:rsidRPr="00EA4ACA" w:rsidRDefault="00D1366A" w:rsidP="00B9385A">
            <w:pPr>
              <w:jc w:val="right"/>
              <w:rPr>
                <w:rFonts w:ascii="Verdana" w:hAnsi="Verdana"/>
              </w:rPr>
            </w:pPr>
            <w:r w:rsidRPr="00EA4ACA">
              <w:rPr>
                <w:rFonts w:ascii="Verdana" w:hAnsi="Verdana"/>
              </w:rPr>
              <w:t>Introduction</w:t>
            </w:r>
          </w:p>
          <w:p w:rsidR="00D1366A" w:rsidRPr="00EA4ACA" w:rsidRDefault="00D1366A" w:rsidP="00B9385A">
            <w:pPr>
              <w:ind w:left="720"/>
              <w:jc w:val="right"/>
              <w:rPr>
                <w:rFonts w:ascii="Verdana" w:hAnsi="Verdana"/>
              </w:rPr>
            </w:pPr>
            <w:r w:rsidRPr="00EA4ACA">
              <w:rPr>
                <w:rFonts w:ascii="Verdana" w:hAnsi="Verdana"/>
              </w:rPr>
              <w:t>What is finance?</w:t>
            </w:r>
          </w:p>
          <w:p w:rsidR="00D1366A" w:rsidRPr="00EA4ACA" w:rsidRDefault="00D1366A" w:rsidP="00B9385A">
            <w:pPr>
              <w:ind w:left="720"/>
              <w:jc w:val="right"/>
              <w:rPr>
                <w:rFonts w:ascii="Verdana" w:hAnsi="Verdana"/>
              </w:rPr>
            </w:pPr>
            <w:r w:rsidRPr="00EA4ACA">
              <w:rPr>
                <w:rFonts w:ascii="Verdana" w:hAnsi="Verdana"/>
              </w:rPr>
              <w:t>What were the origins of the 2008 Financial markets crash?</w:t>
            </w:r>
          </w:p>
          <w:p w:rsidR="00D1366A" w:rsidRPr="00EA4ACA" w:rsidRDefault="00D1366A" w:rsidP="00B9385A">
            <w:pPr>
              <w:ind w:left="720"/>
              <w:jc w:val="right"/>
              <w:rPr>
                <w:rFonts w:ascii="Verdana" w:hAnsi="Verdana"/>
              </w:rPr>
            </w:pPr>
            <w:r w:rsidRPr="00EA4ACA">
              <w:rPr>
                <w:rFonts w:ascii="Verdana" w:hAnsi="Verdana"/>
              </w:rPr>
              <w:t>What is quantitative easing?</w:t>
            </w:r>
          </w:p>
        </w:tc>
      </w:tr>
      <w:tr w:rsidR="00D1366A" w:rsidRPr="00EA4ACA" w:rsidTr="00B9385A">
        <w:trPr>
          <w:jc w:val="center"/>
        </w:trPr>
        <w:tc>
          <w:tcPr>
            <w:tcW w:w="1101" w:type="dxa"/>
          </w:tcPr>
          <w:p w:rsidR="00D1366A" w:rsidRPr="00EA4ACA" w:rsidRDefault="00D1366A" w:rsidP="00B9385A">
            <w:pPr>
              <w:jc w:val="right"/>
              <w:rPr>
                <w:rFonts w:ascii="Verdana" w:hAnsi="Verdana"/>
              </w:rPr>
            </w:pPr>
            <w:r w:rsidRPr="00EA4ACA">
              <w:rPr>
                <w:rFonts w:ascii="Verdana" w:hAnsi="Verdana"/>
              </w:rPr>
              <w:t>2</w:t>
            </w:r>
          </w:p>
        </w:tc>
        <w:tc>
          <w:tcPr>
            <w:tcW w:w="7755" w:type="dxa"/>
          </w:tcPr>
          <w:p w:rsidR="00D1366A" w:rsidRPr="00EA4ACA" w:rsidRDefault="00D1366A" w:rsidP="00B9385A">
            <w:pPr>
              <w:jc w:val="right"/>
              <w:rPr>
                <w:rFonts w:ascii="Verdana" w:hAnsi="Verdana"/>
              </w:rPr>
            </w:pPr>
            <w:r w:rsidRPr="00EA4ACA">
              <w:rPr>
                <w:rFonts w:ascii="Verdana" w:hAnsi="Verdana"/>
              </w:rPr>
              <w:t>Valuing patterns of Cash Flows: Present Value and its competitors</w:t>
            </w:r>
          </w:p>
        </w:tc>
      </w:tr>
      <w:tr w:rsidR="00D1366A" w:rsidRPr="00EA4ACA" w:rsidTr="00B9385A">
        <w:trPr>
          <w:jc w:val="center"/>
        </w:trPr>
        <w:tc>
          <w:tcPr>
            <w:tcW w:w="1101" w:type="dxa"/>
          </w:tcPr>
          <w:p w:rsidR="00D1366A" w:rsidRPr="00EA4ACA" w:rsidRDefault="00D1366A" w:rsidP="00B9385A">
            <w:pPr>
              <w:jc w:val="right"/>
              <w:rPr>
                <w:rFonts w:ascii="Verdana" w:hAnsi="Verdana"/>
              </w:rPr>
            </w:pPr>
            <w:r w:rsidRPr="00EA4ACA">
              <w:rPr>
                <w:rFonts w:ascii="Verdana" w:hAnsi="Verdana"/>
              </w:rPr>
              <w:t>3</w:t>
            </w:r>
          </w:p>
        </w:tc>
        <w:tc>
          <w:tcPr>
            <w:tcW w:w="7755" w:type="dxa"/>
          </w:tcPr>
          <w:p w:rsidR="00D1366A" w:rsidRPr="00EA4ACA" w:rsidRDefault="00D1366A" w:rsidP="00B9385A">
            <w:pPr>
              <w:jc w:val="right"/>
              <w:rPr>
                <w:rFonts w:ascii="Verdana" w:hAnsi="Verdana"/>
              </w:rPr>
            </w:pPr>
            <w:r w:rsidRPr="00EA4ACA">
              <w:rPr>
                <w:rFonts w:ascii="Verdana" w:hAnsi="Verdana"/>
              </w:rPr>
              <w:t>Valuing patterns of Cash Flows: perpetuities and projections</w:t>
            </w:r>
          </w:p>
        </w:tc>
      </w:tr>
      <w:tr w:rsidR="00D1366A" w:rsidRPr="00EA4ACA" w:rsidTr="00B9385A">
        <w:trPr>
          <w:jc w:val="center"/>
        </w:trPr>
        <w:tc>
          <w:tcPr>
            <w:tcW w:w="1101" w:type="dxa"/>
          </w:tcPr>
          <w:p w:rsidR="00D1366A" w:rsidRPr="00EA4ACA" w:rsidRDefault="00D1366A" w:rsidP="00B9385A">
            <w:pPr>
              <w:jc w:val="right"/>
              <w:rPr>
                <w:rFonts w:ascii="Verdana" w:hAnsi="Verdana"/>
              </w:rPr>
            </w:pPr>
            <w:r w:rsidRPr="00EA4ACA">
              <w:rPr>
                <w:rFonts w:ascii="Verdana" w:hAnsi="Verdana"/>
              </w:rPr>
              <w:t>4</w:t>
            </w:r>
          </w:p>
        </w:tc>
        <w:tc>
          <w:tcPr>
            <w:tcW w:w="7755" w:type="dxa"/>
          </w:tcPr>
          <w:p w:rsidR="00D1366A" w:rsidRPr="00EA4ACA" w:rsidRDefault="00D1366A" w:rsidP="00B9385A">
            <w:pPr>
              <w:jc w:val="right"/>
              <w:rPr>
                <w:rFonts w:ascii="Verdana" w:hAnsi="Verdana"/>
              </w:rPr>
            </w:pPr>
            <w:r w:rsidRPr="00EA4ACA">
              <w:rPr>
                <w:rFonts w:ascii="Verdana" w:hAnsi="Verdana"/>
              </w:rPr>
              <w:t>When and why do the prices of investments relate to the present value of their future cash flows?</w:t>
            </w:r>
          </w:p>
        </w:tc>
      </w:tr>
      <w:tr w:rsidR="00D1366A" w:rsidRPr="00EA4ACA" w:rsidTr="00B9385A">
        <w:trPr>
          <w:jc w:val="center"/>
        </w:trPr>
        <w:tc>
          <w:tcPr>
            <w:tcW w:w="1101" w:type="dxa"/>
          </w:tcPr>
          <w:p w:rsidR="00D1366A" w:rsidRPr="00EA4ACA" w:rsidRDefault="00D1366A" w:rsidP="00B9385A">
            <w:pPr>
              <w:jc w:val="right"/>
              <w:rPr>
                <w:rFonts w:ascii="Verdana" w:hAnsi="Verdana"/>
              </w:rPr>
            </w:pPr>
            <w:r w:rsidRPr="00EA4ACA">
              <w:rPr>
                <w:rFonts w:ascii="Verdana" w:hAnsi="Verdana"/>
              </w:rPr>
              <w:t>5</w:t>
            </w:r>
          </w:p>
        </w:tc>
        <w:tc>
          <w:tcPr>
            <w:tcW w:w="7755" w:type="dxa"/>
          </w:tcPr>
          <w:p w:rsidR="00D1366A" w:rsidRPr="00EA4ACA" w:rsidRDefault="00D1366A" w:rsidP="00B9385A">
            <w:pPr>
              <w:jc w:val="right"/>
              <w:rPr>
                <w:rFonts w:ascii="Verdana" w:hAnsi="Verdana"/>
              </w:rPr>
            </w:pPr>
            <w:r w:rsidRPr="00EA4ACA">
              <w:rPr>
                <w:rFonts w:ascii="Verdana" w:hAnsi="Verdana"/>
              </w:rPr>
              <w:t>The law of one price and financial engineering .1</w:t>
            </w:r>
          </w:p>
        </w:tc>
      </w:tr>
      <w:tr w:rsidR="00D1366A" w:rsidRPr="00EA4ACA" w:rsidTr="00B9385A">
        <w:trPr>
          <w:jc w:val="center"/>
        </w:trPr>
        <w:tc>
          <w:tcPr>
            <w:tcW w:w="1101" w:type="dxa"/>
          </w:tcPr>
          <w:p w:rsidR="00D1366A" w:rsidRPr="00EA4ACA" w:rsidRDefault="00D1366A" w:rsidP="00B9385A">
            <w:pPr>
              <w:jc w:val="right"/>
              <w:rPr>
                <w:rFonts w:ascii="Verdana" w:hAnsi="Verdana"/>
              </w:rPr>
            </w:pPr>
            <w:r w:rsidRPr="00EA4ACA">
              <w:rPr>
                <w:rFonts w:ascii="Verdana" w:hAnsi="Verdana"/>
              </w:rPr>
              <w:t>6</w:t>
            </w:r>
          </w:p>
        </w:tc>
        <w:tc>
          <w:tcPr>
            <w:tcW w:w="7755" w:type="dxa"/>
          </w:tcPr>
          <w:p w:rsidR="00D1366A" w:rsidRPr="00EA4ACA" w:rsidRDefault="00D1366A" w:rsidP="00B9385A">
            <w:pPr>
              <w:jc w:val="right"/>
              <w:rPr>
                <w:rFonts w:ascii="Verdana" w:hAnsi="Verdana"/>
              </w:rPr>
            </w:pPr>
            <w:r w:rsidRPr="00EA4ACA">
              <w:rPr>
                <w:rFonts w:ascii="Verdana" w:hAnsi="Verdana"/>
              </w:rPr>
              <w:t>The law of one price and financial engineering .2</w:t>
            </w:r>
          </w:p>
        </w:tc>
      </w:tr>
      <w:tr w:rsidR="00D1366A" w:rsidRPr="00EA4ACA" w:rsidTr="00B9385A">
        <w:trPr>
          <w:jc w:val="center"/>
        </w:trPr>
        <w:tc>
          <w:tcPr>
            <w:tcW w:w="1101" w:type="dxa"/>
          </w:tcPr>
          <w:p w:rsidR="00D1366A" w:rsidRPr="00EA4ACA" w:rsidRDefault="00D1366A" w:rsidP="00B9385A">
            <w:pPr>
              <w:jc w:val="right"/>
              <w:rPr>
                <w:rFonts w:ascii="Verdana" w:hAnsi="Verdana"/>
              </w:rPr>
            </w:pPr>
            <w:r w:rsidRPr="00EA4ACA">
              <w:rPr>
                <w:rFonts w:ascii="Verdana" w:hAnsi="Verdana"/>
              </w:rPr>
              <w:t>7</w:t>
            </w:r>
          </w:p>
        </w:tc>
        <w:tc>
          <w:tcPr>
            <w:tcW w:w="7755" w:type="dxa"/>
          </w:tcPr>
          <w:p w:rsidR="00D1366A" w:rsidRPr="00EA4ACA" w:rsidRDefault="00D1366A" w:rsidP="00B9385A">
            <w:pPr>
              <w:jc w:val="right"/>
              <w:rPr>
                <w:rFonts w:ascii="Verdana" w:hAnsi="Verdana"/>
              </w:rPr>
            </w:pPr>
            <w:r w:rsidRPr="00EA4ACA">
              <w:rPr>
                <w:rFonts w:ascii="Verdana" w:hAnsi="Verdana"/>
              </w:rPr>
              <w:t>Midterm Examination</w:t>
            </w:r>
          </w:p>
        </w:tc>
      </w:tr>
      <w:tr w:rsidR="00D1366A" w:rsidRPr="00EA4ACA" w:rsidTr="00B9385A">
        <w:trPr>
          <w:jc w:val="center"/>
        </w:trPr>
        <w:tc>
          <w:tcPr>
            <w:tcW w:w="1101" w:type="dxa"/>
          </w:tcPr>
          <w:p w:rsidR="00D1366A" w:rsidRPr="00EA4ACA" w:rsidRDefault="00D1366A" w:rsidP="00B9385A">
            <w:pPr>
              <w:jc w:val="right"/>
              <w:rPr>
                <w:rFonts w:ascii="Verdana" w:hAnsi="Verdana"/>
              </w:rPr>
            </w:pPr>
            <w:r w:rsidRPr="00EA4ACA">
              <w:rPr>
                <w:rFonts w:ascii="Verdana" w:hAnsi="Verdana"/>
              </w:rPr>
              <w:t>8</w:t>
            </w:r>
          </w:p>
        </w:tc>
        <w:tc>
          <w:tcPr>
            <w:tcW w:w="7755" w:type="dxa"/>
          </w:tcPr>
          <w:p w:rsidR="00D1366A" w:rsidRPr="00EA4ACA" w:rsidRDefault="00D1366A" w:rsidP="00B9385A">
            <w:pPr>
              <w:jc w:val="right"/>
              <w:rPr>
                <w:rFonts w:ascii="Verdana" w:hAnsi="Verdana"/>
              </w:rPr>
            </w:pPr>
            <w:r w:rsidRPr="00EA4ACA">
              <w:rPr>
                <w:rFonts w:ascii="Verdana" w:hAnsi="Verdana"/>
              </w:rPr>
              <w:t>Option pricing</w:t>
            </w:r>
          </w:p>
        </w:tc>
      </w:tr>
      <w:tr w:rsidR="00D1366A" w:rsidRPr="00EA4ACA" w:rsidTr="00B9385A">
        <w:trPr>
          <w:jc w:val="center"/>
        </w:trPr>
        <w:tc>
          <w:tcPr>
            <w:tcW w:w="1101" w:type="dxa"/>
          </w:tcPr>
          <w:p w:rsidR="00D1366A" w:rsidRPr="00EA4ACA" w:rsidRDefault="00D1366A" w:rsidP="00B9385A">
            <w:pPr>
              <w:jc w:val="right"/>
              <w:rPr>
                <w:rFonts w:ascii="Verdana" w:hAnsi="Verdana"/>
              </w:rPr>
            </w:pPr>
            <w:r w:rsidRPr="00EA4ACA">
              <w:rPr>
                <w:rFonts w:ascii="Verdana" w:hAnsi="Verdana"/>
              </w:rPr>
              <w:t>9</w:t>
            </w:r>
          </w:p>
        </w:tc>
        <w:tc>
          <w:tcPr>
            <w:tcW w:w="7755" w:type="dxa"/>
          </w:tcPr>
          <w:p w:rsidR="00D1366A" w:rsidRPr="00EA4ACA" w:rsidRDefault="00D1366A" w:rsidP="00B9385A">
            <w:pPr>
              <w:jc w:val="right"/>
              <w:rPr>
                <w:rFonts w:ascii="Verdana" w:hAnsi="Verdana"/>
              </w:rPr>
            </w:pPr>
            <w:r w:rsidRPr="00EA4ACA">
              <w:rPr>
                <w:rFonts w:ascii="Verdana" w:hAnsi="Verdana"/>
              </w:rPr>
              <w:t>The financial markets crash revisited: Normal Accidents</w:t>
            </w:r>
          </w:p>
        </w:tc>
      </w:tr>
      <w:tr w:rsidR="00D1366A" w:rsidRPr="00EA4ACA" w:rsidTr="00B9385A">
        <w:trPr>
          <w:jc w:val="center"/>
        </w:trPr>
        <w:tc>
          <w:tcPr>
            <w:tcW w:w="1101" w:type="dxa"/>
          </w:tcPr>
          <w:p w:rsidR="00D1366A" w:rsidRPr="00EA4ACA" w:rsidRDefault="00D1366A" w:rsidP="00B9385A">
            <w:pPr>
              <w:jc w:val="right"/>
              <w:rPr>
                <w:rFonts w:ascii="Verdana" w:hAnsi="Verdana"/>
              </w:rPr>
            </w:pPr>
            <w:r w:rsidRPr="00EA4ACA">
              <w:rPr>
                <w:rFonts w:ascii="Verdana" w:hAnsi="Verdana"/>
              </w:rPr>
              <w:t>10</w:t>
            </w:r>
          </w:p>
        </w:tc>
        <w:tc>
          <w:tcPr>
            <w:tcW w:w="7755" w:type="dxa"/>
          </w:tcPr>
          <w:p w:rsidR="00D1366A" w:rsidRPr="00EA4ACA" w:rsidRDefault="00D1366A" w:rsidP="00B9385A">
            <w:pPr>
              <w:jc w:val="right"/>
              <w:rPr>
                <w:rFonts w:ascii="Verdana" w:hAnsi="Verdana"/>
              </w:rPr>
            </w:pPr>
            <w:r w:rsidRPr="00EA4ACA">
              <w:rPr>
                <w:rFonts w:ascii="Verdana" w:hAnsi="Verdana"/>
              </w:rPr>
              <w:t>The financial markets crash revisited: Demon of our Own Design?</w:t>
            </w:r>
          </w:p>
        </w:tc>
      </w:tr>
      <w:tr w:rsidR="00D1366A" w:rsidRPr="00EA4ACA" w:rsidTr="00B9385A">
        <w:trPr>
          <w:jc w:val="center"/>
        </w:trPr>
        <w:tc>
          <w:tcPr>
            <w:tcW w:w="1101" w:type="dxa"/>
          </w:tcPr>
          <w:p w:rsidR="00D1366A" w:rsidRPr="00EA4ACA" w:rsidRDefault="00D1366A" w:rsidP="00B9385A">
            <w:pPr>
              <w:jc w:val="right"/>
              <w:rPr>
                <w:rFonts w:ascii="Verdana" w:hAnsi="Verdana"/>
              </w:rPr>
            </w:pPr>
            <w:r w:rsidRPr="00EA4ACA">
              <w:rPr>
                <w:rFonts w:ascii="Verdana" w:hAnsi="Verdana"/>
              </w:rPr>
              <w:t>11</w:t>
            </w:r>
          </w:p>
        </w:tc>
        <w:tc>
          <w:tcPr>
            <w:tcW w:w="7755" w:type="dxa"/>
          </w:tcPr>
          <w:p w:rsidR="00D1366A" w:rsidRPr="00EA4ACA" w:rsidRDefault="00D1366A" w:rsidP="00B9385A">
            <w:pPr>
              <w:jc w:val="right"/>
              <w:rPr>
                <w:rFonts w:ascii="Verdana" w:hAnsi="Verdana"/>
              </w:rPr>
            </w:pPr>
            <w:r w:rsidRPr="00EA4ACA">
              <w:rPr>
                <w:rFonts w:ascii="Verdana" w:hAnsi="Verdana"/>
              </w:rPr>
              <w:t>Real Options and the value of Flexibility.1</w:t>
            </w:r>
          </w:p>
        </w:tc>
      </w:tr>
      <w:tr w:rsidR="00D1366A" w:rsidRPr="00EA4ACA" w:rsidTr="00B9385A">
        <w:trPr>
          <w:jc w:val="center"/>
        </w:trPr>
        <w:tc>
          <w:tcPr>
            <w:tcW w:w="1101" w:type="dxa"/>
          </w:tcPr>
          <w:p w:rsidR="00D1366A" w:rsidRPr="00EA4ACA" w:rsidRDefault="00D1366A" w:rsidP="00B9385A">
            <w:pPr>
              <w:jc w:val="right"/>
              <w:rPr>
                <w:rFonts w:ascii="Verdana" w:hAnsi="Verdana"/>
              </w:rPr>
            </w:pPr>
            <w:r w:rsidRPr="00EA4ACA">
              <w:rPr>
                <w:rFonts w:ascii="Verdana" w:hAnsi="Verdana"/>
              </w:rPr>
              <w:t>12</w:t>
            </w:r>
          </w:p>
        </w:tc>
        <w:tc>
          <w:tcPr>
            <w:tcW w:w="7755" w:type="dxa"/>
          </w:tcPr>
          <w:p w:rsidR="00D1366A" w:rsidRPr="00EA4ACA" w:rsidRDefault="00D1366A" w:rsidP="00B9385A">
            <w:pPr>
              <w:jc w:val="right"/>
              <w:rPr>
                <w:rFonts w:ascii="Verdana" w:hAnsi="Verdana"/>
              </w:rPr>
            </w:pPr>
            <w:r w:rsidRPr="00EA4ACA">
              <w:rPr>
                <w:rFonts w:ascii="Verdana" w:hAnsi="Verdana"/>
              </w:rPr>
              <w:t>Real Option</w:t>
            </w:r>
            <w:r>
              <w:rPr>
                <w:rFonts w:ascii="Verdana" w:hAnsi="Verdana"/>
              </w:rPr>
              <w:t>s and the value of Flexibility.2</w:t>
            </w:r>
          </w:p>
        </w:tc>
      </w:tr>
    </w:tbl>
    <w:p w:rsidR="00D1366A" w:rsidRDefault="00D1366A" w:rsidP="00D1366A">
      <w:pPr>
        <w:bidi w:val="0"/>
        <w:rPr>
          <w:rFonts w:ascii="Verdana" w:hAnsi="Verdana"/>
          <w:spacing w:val="-2"/>
        </w:rPr>
      </w:pPr>
    </w:p>
    <w:p w:rsidR="00D1366A" w:rsidRDefault="00D1366A" w:rsidP="00D1366A">
      <w:pPr>
        <w:bidi w:val="0"/>
        <w:spacing w:after="200"/>
        <w:jc w:val="right"/>
        <w:rPr>
          <w:rFonts w:ascii="Verdana" w:hAnsi="Verdana"/>
          <w:spacing w:val="-2"/>
        </w:rPr>
      </w:pPr>
      <w:r>
        <w:rPr>
          <w:rFonts w:ascii="Verdana" w:hAnsi="Verdana"/>
          <w:spacing w:val="-2"/>
        </w:rPr>
        <w:br w:type="page"/>
      </w:r>
    </w:p>
    <w:p w:rsidR="00D1366A" w:rsidRDefault="00D1366A" w:rsidP="00D1366A">
      <w:pPr>
        <w:bidi w:val="0"/>
        <w:rPr>
          <w:rFonts w:ascii="Arial" w:hAnsi="Arial" w:cs="Arial"/>
          <w:rtl/>
        </w:rPr>
      </w:pPr>
    </w:p>
    <w:p w:rsidR="00D1366A" w:rsidRDefault="00D1366A" w:rsidP="00D1366A">
      <w:pPr>
        <w:suppressAutoHyphens/>
        <w:jc w:val="right"/>
        <w:rPr>
          <w:rFonts w:ascii="Verdana" w:hAnsi="Verdana"/>
          <w:b/>
          <w:bCs/>
          <w:spacing w:val="-2"/>
          <w:u w:val="single"/>
        </w:rPr>
      </w:pPr>
      <w:r w:rsidRPr="00E9456A">
        <w:rPr>
          <w:rFonts w:ascii="Verdana" w:hAnsi="Verdana"/>
          <w:b/>
          <w:bCs/>
          <w:spacing w:val="-2"/>
          <w:u w:val="single"/>
        </w:rPr>
        <w:t>Grading and administration</w:t>
      </w:r>
    </w:p>
    <w:p w:rsidR="00D1366A" w:rsidRPr="00E9456A" w:rsidRDefault="00D1366A" w:rsidP="00D1366A">
      <w:pPr>
        <w:suppressAutoHyphens/>
        <w:jc w:val="right"/>
        <w:rPr>
          <w:rFonts w:ascii="Verdana" w:hAnsi="Verdana"/>
          <w:b/>
          <w:bCs/>
          <w:spacing w:val="-2"/>
          <w:u w:val="single"/>
        </w:rPr>
      </w:pPr>
    </w:p>
    <w:p w:rsidR="00D1366A" w:rsidRPr="00EA4ACA" w:rsidRDefault="00D1366A" w:rsidP="00D1366A">
      <w:pPr>
        <w:suppressAutoHyphens/>
        <w:jc w:val="right"/>
        <w:rPr>
          <w:rFonts w:ascii="Verdana" w:hAnsi="Verdana"/>
          <w:spacing w:val="-2"/>
        </w:rPr>
      </w:pPr>
      <w:r w:rsidRPr="00EA4ACA">
        <w:rPr>
          <w:rFonts w:ascii="Verdana" w:hAnsi="Verdana"/>
          <w:spacing w:val="-2"/>
        </w:rPr>
        <w:t>Grades will be assigned on the basis of a midterm examination and final project.  Class meetings will be conducted according to the Socratic Method, meaning that students need to be prepared to work actively within class, as well as outside of it.  In addition to a supporting, recommended text, frequent readings (either available on the internet or supplied by me) will be assigned.</w:t>
      </w:r>
    </w:p>
    <w:p w:rsidR="00D1366A" w:rsidRDefault="00D1366A" w:rsidP="00D1366A">
      <w:pPr>
        <w:jc w:val="right"/>
      </w:pPr>
    </w:p>
    <w:p w:rsidR="00D1366A" w:rsidRPr="00F74E74" w:rsidRDefault="00D1366A" w:rsidP="00D1366A">
      <w:pPr>
        <w:jc w:val="right"/>
        <w:rPr>
          <w:rFonts w:ascii="Verdana" w:hAnsi="Verdana"/>
        </w:rPr>
      </w:pPr>
      <w:r w:rsidRPr="00E9456A">
        <w:rPr>
          <w:rFonts w:ascii="Verdana" w:hAnsi="Verdana"/>
          <w:b/>
          <w:bCs/>
        </w:rPr>
        <w:t>Text</w:t>
      </w:r>
      <w:r w:rsidRPr="00F74E74">
        <w:rPr>
          <w:rFonts w:ascii="Verdana" w:hAnsi="Verdana"/>
        </w:rPr>
        <w:t xml:space="preserve">: Jonathan </w:t>
      </w:r>
      <w:proofErr w:type="spellStart"/>
      <w:r w:rsidRPr="00F74E74">
        <w:rPr>
          <w:rFonts w:ascii="Verdana" w:hAnsi="Verdana"/>
        </w:rPr>
        <w:t>Berk</w:t>
      </w:r>
      <w:proofErr w:type="spellEnd"/>
      <w:r w:rsidRPr="00F74E74">
        <w:rPr>
          <w:rFonts w:ascii="Verdana" w:hAnsi="Verdana"/>
        </w:rPr>
        <w:t xml:space="preserve"> and Peter </w:t>
      </w:r>
      <w:proofErr w:type="spellStart"/>
      <w:r w:rsidRPr="00F74E74">
        <w:rPr>
          <w:rFonts w:ascii="Verdana" w:hAnsi="Verdana"/>
        </w:rPr>
        <w:t>DeMarzo</w:t>
      </w:r>
      <w:proofErr w:type="spellEnd"/>
      <w:r w:rsidRPr="00F74E74">
        <w:rPr>
          <w:rFonts w:ascii="Verdana" w:hAnsi="Verdana"/>
        </w:rPr>
        <w:t>, Fundamentals of Corporate Finance, Prentice Hall, 2012</w:t>
      </w:r>
    </w:p>
    <w:p w:rsidR="00D1366A" w:rsidRDefault="00D1366A" w:rsidP="00D1366A">
      <w:pPr>
        <w:jc w:val="right"/>
      </w:pPr>
    </w:p>
    <w:p w:rsidR="00D1366A" w:rsidRDefault="00D1366A" w:rsidP="00D1366A">
      <w:pPr>
        <w:bidi w:val="0"/>
        <w:ind w:left="26"/>
        <w:rPr>
          <w:rFonts w:ascii="Arial" w:hAnsi="Arial" w:cs="Arial"/>
          <w:b/>
          <w:bCs/>
          <w:rtl/>
        </w:rPr>
      </w:pPr>
    </w:p>
    <w:p w:rsidR="00D1366A" w:rsidRDefault="00D1366A" w:rsidP="00D1366A">
      <w:pPr>
        <w:bidi w:val="0"/>
      </w:pPr>
    </w:p>
    <w:p w:rsidR="00D1366A" w:rsidRDefault="00D1366A" w:rsidP="00D1366A"/>
    <w:p w:rsidR="00D1366A" w:rsidRPr="000710D0" w:rsidRDefault="00D1366A" w:rsidP="00D1366A"/>
    <w:p w:rsidR="002A64CD" w:rsidRDefault="002A64CD"/>
    <w:sectPr w:rsidR="002A64CD" w:rsidSect="00292B26">
      <w:headerReference w:type="default" r:id="rId6"/>
      <w:footerReference w:type="default" r:id="rId7"/>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B26" w:rsidRDefault="00D1366A" w:rsidP="00292B26">
    <w:pPr>
      <w:pStyle w:val="a6"/>
      <w:jc w:val="right"/>
    </w:pPr>
    <w:r>
      <w:rPr>
        <w:rStyle w:val="a8"/>
      </w:rPr>
      <w:fldChar w:fldCharType="begin"/>
    </w:r>
    <w:r>
      <w:rPr>
        <w:rStyle w:val="a8"/>
      </w:rPr>
      <w:instrText xml:space="preserve"> PAGE </w:instrText>
    </w:r>
    <w:r>
      <w:rPr>
        <w:rStyle w:val="a8"/>
      </w:rPr>
      <w:fldChar w:fldCharType="separate"/>
    </w:r>
    <w:r>
      <w:rPr>
        <w:rStyle w:val="a8"/>
        <w:noProof/>
        <w:rtl/>
      </w:rPr>
      <w:t>1</w:t>
    </w:r>
    <w:r>
      <w:rPr>
        <w:rStyle w:val="a8"/>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B26" w:rsidRDefault="00D1366A" w:rsidP="00292B26">
    <w:pPr>
      <w:pStyle w:val="a4"/>
      <w:jc w:val="center"/>
      <w:rPr>
        <w:color w:val="333333"/>
        <w:rtl/>
      </w:rPr>
    </w:pPr>
  </w:p>
  <w:p w:rsidR="00292B26" w:rsidRPr="006F3984" w:rsidRDefault="00D1366A" w:rsidP="00292B2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66A"/>
    <w:rsid w:val="002A64CD"/>
    <w:rsid w:val="00D1366A"/>
    <w:rsid w:val="00DE6C0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David"/>
        <w:sz w:val="22"/>
        <w:szCs w:val="24"/>
        <w:lang w:val="en-US" w:eastAsia="en-US" w:bidi="he-IL"/>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66A"/>
    <w:pPr>
      <w:bidi/>
      <w:spacing w:after="0"/>
    </w:pPr>
    <w:rPr>
      <w:rFonts w:ascii="Times New Roman" w:eastAsia="Times New Roman"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1366A"/>
    <w:pPr>
      <w:bidi/>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D1366A"/>
    <w:pPr>
      <w:tabs>
        <w:tab w:val="center" w:pos="4153"/>
        <w:tab w:val="right" w:pos="8306"/>
      </w:tabs>
    </w:pPr>
  </w:style>
  <w:style w:type="character" w:customStyle="1" w:styleId="a5">
    <w:name w:val="כותרת עליונה תו"/>
    <w:basedOn w:val="a0"/>
    <w:link w:val="a4"/>
    <w:rsid w:val="00D1366A"/>
    <w:rPr>
      <w:rFonts w:ascii="Times New Roman" w:eastAsia="Times New Roman" w:hAnsi="Times New Roman" w:cs="Times New Roman"/>
      <w:sz w:val="24"/>
    </w:rPr>
  </w:style>
  <w:style w:type="paragraph" w:styleId="a6">
    <w:name w:val="footer"/>
    <w:basedOn w:val="a"/>
    <w:link w:val="a7"/>
    <w:rsid w:val="00D1366A"/>
    <w:pPr>
      <w:tabs>
        <w:tab w:val="center" w:pos="4153"/>
        <w:tab w:val="right" w:pos="8306"/>
      </w:tabs>
    </w:pPr>
  </w:style>
  <w:style w:type="character" w:customStyle="1" w:styleId="a7">
    <w:name w:val="כותרת תחתונה תו"/>
    <w:basedOn w:val="a0"/>
    <w:link w:val="a6"/>
    <w:rsid w:val="00D1366A"/>
    <w:rPr>
      <w:rFonts w:ascii="Times New Roman" w:eastAsia="Times New Roman" w:hAnsi="Times New Roman" w:cs="Times New Roman"/>
      <w:sz w:val="24"/>
    </w:rPr>
  </w:style>
  <w:style w:type="character" w:styleId="a8">
    <w:name w:val="page number"/>
    <w:basedOn w:val="a0"/>
    <w:rsid w:val="00D1366A"/>
    <w:rPr>
      <w:rFonts w:cs="Times New Roman"/>
    </w:rPr>
  </w:style>
  <w:style w:type="paragraph" w:styleId="a9">
    <w:name w:val="Balloon Text"/>
    <w:basedOn w:val="a"/>
    <w:link w:val="aa"/>
    <w:uiPriority w:val="99"/>
    <w:semiHidden/>
    <w:unhideWhenUsed/>
    <w:rsid w:val="00D1366A"/>
    <w:rPr>
      <w:rFonts w:ascii="Tahoma" w:hAnsi="Tahoma" w:cs="Tahoma"/>
      <w:sz w:val="16"/>
      <w:szCs w:val="16"/>
    </w:rPr>
  </w:style>
  <w:style w:type="character" w:customStyle="1" w:styleId="aa">
    <w:name w:val="טקסט בלונים תו"/>
    <w:basedOn w:val="a0"/>
    <w:link w:val="a9"/>
    <w:uiPriority w:val="99"/>
    <w:semiHidden/>
    <w:rsid w:val="00D1366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David"/>
        <w:sz w:val="22"/>
        <w:szCs w:val="24"/>
        <w:lang w:val="en-US" w:eastAsia="en-US" w:bidi="he-IL"/>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66A"/>
    <w:pPr>
      <w:bidi/>
      <w:spacing w:after="0"/>
    </w:pPr>
    <w:rPr>
      <w:rFonts w:ascii="Times New Roman" w:eastAsia="Times New Roman"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1366A"/>
    <w:pPr>
      <w:bidi/>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D1366A"/>
    <w:pPr>
      <w:tabs>
        <w:tab w:val="center" w:pos="4153"/>
        <w:tab w:val="right" w:pos="8306"/>
      </w:tabs>
    </w:pPr>
  </w:style>
  <w:style w:type="character" w:customStyle="1" w:styleId="a5">
    <w:name w:val="כותרת עליונה תו"/>
    <w:basedOn w:val="a0"/>
    <w:link w:val="a4"/>
    <w:rsid w:val="00D1366A"/>
    <w:rPr>
      <w:rFonts w:ascii="Times New Roman" w:eastAsia="Times New Roman" w:hAnsi="Times New Roman" w:cs="Times New Roman"/>
      <w:sz w:val="24"/>
    </w:rPr>
  </w:style>
  <w:style w:type="paragraph" w:styleId="a6">
    <w:name w:val="footer"/>
    <w:basedOn w:val="a"/>
    <w:link w:val="a7"/>
    <w:rsid w:val="00D1366A"/>
    <w:pPr>
      <w:tabs>
        <w:tab w:val="center" w:pos="4153"/>
        <w:tab w:val="right" w:pos="8306"/>
      </w:tabs>
    </w:pPr>
  </w:style>
  <w:style w:type="character" w:customStyle="1" w:styleId="a7">
    <w:name w:val="כותרת תחתונה תו"/>
    <w:basedOn w:val="a0"/>
    <w:link w:val="a6"/>
    <w:rsid w:val="00D1366A"/>
    <w:rPr>
      <w:rFonts w:ascii="Times New Roman" w:eastAsia="Times New Roman" w:hAnsi="Times New Roman" w:cs="Times New Roman"/>
      <w:sz w:val="24"/>
    </w:rPr>
  </w:style>
  <w:style w:type="character" w:styleId="a8">
    <w:name w:val="page number"/>
    <w:basedOn w:val="a0"/>
    <w:rsid w:val="00D1366A"/>
    <w:rPr>
      <w:rFonts w:cs="Times New Roman"/>
    </w:rPr>
  </w:style>
  <w:style w:type="paragraph" w:styleId="a9">
    <w:name w:val="Balloon Text"/>
    <w:basedOn w:val="a"/>
    <w:link w:val="aa"/>
    <w:uiPriority w:val="99"/>
    <w:semiHidden/>
    <w:unhideWhenUsed/>
    <w:rsid w:val="00D1366A"/>
    <w:rPr>
      <w:rFonts w:ascii="Tahoma" w:hAnsi="Tahoma" w:cs="Tahoma"/>
      <w:sz w:val="16"/>
      <w:szCs w:val="16"/>
    </w:rPr>
  </w:style>
  <w:style w:type="character" w:customStyle="1" w:styleId="aa">
    <w:name w:val="טקסט בלונים תו"/>
    <w:basedOn w:val="a0"/>
    <w:link w:val="a9"/>
    <w:uiPriority w:val="99"/>
    <w:semiHidden/>
    <w:rsid w:val="00D1366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304</Words>
  <Characters>1520</Characters>
  <Application>Microsoft Office Word</Application>
  <DocSecurity>0</DocSecurity>
  <Lines>12</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Alyta Pitaru</dc:creator>
  <cp:lastModifiedBy>Alyta Pitaru</cp:lastModifiedBy>
  <cp:revision>1</cp:revision>
  <dcterms:created xsi:type="dcterms:W3CDTF">2015-09-21T05:58:00Z</dcterms:created>
  <dcterms:modified xsi:type="dcterms:W3CDTF">2015-09-21T05:58:00Z</dcterms:modified>
</cp:coreProperties>
</file>