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C9D" w:rsidRDefault="00500C9D" w:rsidP="00500C9D">
      <w:pPr>
        <w:bidi w:val="0"/>
        <w:spacing w:line="360" w:lineRule="auto"/>
        <w:jc w:val="center"/>
        <w:rPr>
          <w:rFonts w:ascii="Arial" w:hAnsi="Arial" w:cs="Arial"/>
          <w:b/>
          <w:bCs/>
          <w:sz w:val="26"/>
          <w:szCs w:val="26"/>
        </w:rPr>
      </w:pPr>
      <w:r>
        <w:rPr>
          <w:rFonts w:ascii="Arial" w:hAnsi="Arial" w:cs="Tahoma"/>
          <w:bCs/>
          <w:sz w:val="36"/>
          <w:szCs w:val="36"/>
          <w:rtl/>
        </w:rPr>
        <w:t xml:space="preserve">     </w:t>
      </w:r>
      <w:r>
        <w:rPr>
          <w:rFonts w:ascii="Arial" w:hAnsi="Arial" w:cs="Tahoma"/>
          <w:bCs/>
          <w:noProof/>
          <w:sz w:val="36"/>
          <w:szCs w:val="36"/>
        </w:rPr>
        <w:t xml:space="preserve">                            </w:t>
      </w:r>
      <w:r>
        <w:rPr>
          <w:rFonts w:ascii="Arial" w:hAnsi="Arial" w:cs="Tahoma"/>
          <w:bCs/>
          <w:noProof/>
          <w:sz w:val="36"/>
          <w:szCs w:val="36"/>
        </w:rPr>
        <w:drawing>
          <wp:inline distT="0" distB="0" distL="0" distR="0" wp14:anchorId="31F2001A" wp14:editId="2BFAB073">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Pr>
          <w:rFonts w:ascii="Arial" w:hAnsi="Arial" w:cs="Tahoma"/>
          <w:bCs/>
          <w:sz w:val="36"/>
          <w:szCs w:val="36"/>
        </w:rPr>
        <w:t>Course Name and Number</w:t>
      </w:r>
      <w:r w:rsidRPr="002E026B">
        <w:rPr>
          <w:rFonts w:ascii="Arial" w:hAnsi="Arial" w:cs="Tahoma"/>
          <w:bCs/>
          <w:sz w:val="36"/>
          <w:szCs w:val="36"/>
          <w:rtl/>
        </w:rPr>
        <w:t>:</w:t>
      </w:r>
      <w:r w:rsidRPr="00DF7FD6">
        <w:rPr>
          <w:rFonts w:ascii="Arial" w:hAnsi="Arial" w:cs="Arial"/>
          <w:b/>
          <w:bCs/>
          <w:sz w:val="26"/>
          <w:szCs w:val="26"/>
        </w:rPr>
        <w:t xml:space="preserve"> </w:t>
      </w:r>
    </w:p>
    <w:p w:rsidR="00500C9D" w:rsidRDefault="00500C9D" w:rsidP="00500C9D">
      <w:pPr>
        <w:bidi w:val="0"/>
        <w:spacing w:line="360" w:lineRule="auto"/>
        <w:jc w:val="center"/>
        <w:rPr>
          <w:rFonts w:ascii="Arial" w:hAnsi="Arial" w:cs="Arial"/>
          <w:b/>
          <w:bCs/>
          <w:sz w:val="26"/>
          <w:szCs w:val="26"/>
        </w:rPr>
      </w:pPr>
      <w:bookmarkStart w:id="0" w:name="_GoBack"/>
      <w:r>
        <w:rPr>
          <w:rFonts w:ascii="Arial" w:hAnsi="Arial" w:cs="Arial"/>
          <w:b/>
          <w:bCs/>
          <w:sz w:val="26"/>
          <w:szCs w:val="26"/>
        </w:rPr>
        <w:t>Between man and man - Business Ethics</w:t>
      </w:r>
    </w:p>
    <w:bookmarkEnd w:id="0"/>
    <w:p w:rsidR="00500C9D" w:rsidRPr="002E026B" w:rsidRDefault="00500C9D" w:rsidP="00500C9D">
      <w:pPr>
        <w:bidi w:val="0"/>
        <w:spacing w:line="360" w:lineRule="auto"/>
        <w:jc w:val="center"/>
        <w:rPr>
          <w:rFonts w:ascii="Arial" w:hAnsi="Arial" w:cs="Tahoma"/>
          <w:rtl/>
        </w:rPr>
      </w:pPr>
      <w:r>
        <w:rPr>
          <w:rFonts w:ascii="Arial" w:hAnsi="Arial" w:cs="Arial"/>
          <w:b/>
          <w:bCs/>
          <w:sz w:val="26"/>
          <w:szCs w:val="26"/>
        </w:rPr>
        <w:t>02-035-80</w:t>
      </w:r>
    </w:p>
    <w:p w:rsidR="00500C9D" w:rsidRPr="002E026B" w:rsidRDefault="00500C9D" w:rsidP="00500C9D">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p>
    <w:p w:rsidR="00500C9D" w:rsidRDefault="00500C9D" w:rsidP="00500C9D">
      <w:pPr>
        <w:bidi w:val="0"/>
        <w:spacing w:line="360" w:lineRule="auto"/>
        <w:rPr>
          <w:rFonts w:ascii="Arial" w:hAnsi="Arial" w:cs="Arial"/>
          <w:rtl/>
        </w:rPr>
      </w:pPr>
      <w:r>
        <w:rPr>
          <w:rFonts w:ascii="Arial" w:hAnsi="Arial" w:cs="Arial"/>
          <w:b/>
          <w:bCs/>
        </w:rPr>
        <w:t>Year of Studies</w:t>
      </w:r>
      <w:proofErr w:type="gramStart"/>
      <w:r>
        <w:rPr>
          <w:rFonts w:ascii="Arial" w:hAnsi="Arial" w:cs="Arial"/>
          <w:b/>
          <w:bCs/>
        </w:rPr>
        <w:t>:</w:t>
      </w:r>
      <w:r>
        <w:rPr>
          <w:rFonts w:ascii="Arial" w:hAnsi="Arial" w:cs="Arial"/>
        </w:rPr>
        <w:t>2020</w:t>
      </w:r>
      <w:proofErr w:type="gramEnd"/>
      <w:r>
        <w:rPr>
          <w:rFonts w:ascii="Arial" w:hAnsi="Arial" w:cs="Arial"/>
          <w:b/>
          <w:bCs/>
        </w:rPr>
        <w:t>-</w:t>
      </w:r>
      <w:r w:rsidRPr="00500C9D">
        <w:rPr>
          <w:rFonts w:ascii="Arial" w:hAnsi="Arial" w:cs="Arial"/>
        </w:rPr>
        <w:t>2021</w:t>
      </w:r>
      <w:r>
        <w:rPr>
          <w:rFonts w:ascii="Arial" w:hAnsi="Arial" w:cs="Arial"/>
          <w:b/>
          <w:bCs/>
        </w:rPr>
        <w:t xml:space="preserve"> </w:t>
      </w:r>
      <w:r>
        <w:rPr>
          <w:rFonts w:ascii="Arial" w:hAnsi="Arial" w:cs="Arial"/>
          <w:b/>
          <w:bCs/>
        </w:rPr>
        <w:t xml:space="preserve">Semester: </w:t>
      </w:r>
      <w:r>
        <w:rPr>
          <w:rFonts w:ascii="Arial" w:hAnsi="Arial" w:cs="Arial"/>
        </w:rPr>
        <w:t xml:space="preserve">Spring </w:t>
      </w:r>
      <w:r>
        <w:rPr>
          <w:rFonts w:ascii="Arial" w:hAnsi="Arial" w:cs="Arial"/>
          <w:b/>
          <w:bCs/>
        </w:rPr>
        <w:t>Hours/credits</w:t>
      </w:r>
      <w:r>
        <w:rPr>
          <w:rFonts w:ascii="Arial" w:hAnsi="Arial" w:cs="Arial"/>
        </w:rPr>
        <w:t>: 2</w:t>
      </w:r>
    </w:p>
    <w:p w:rsidR="00500C9D" w:rsidRDefault="00500C9D" w:rsidP="00500C9D">
      <w:pPr>
        <w:bidi w:val="0"/>
        <w:ind w:left="26"/>
        <w:rPr>
          <w:rFonts w:ascii="Arial" w:hAnsi="Arial" w:cs="Arial"/>
          <w:b/>
          <w:bCs/>
          <w:sz w:val="26"/>
          <w:szCs w:val="26"/>
          <w:rtl/>
        </w:rPr>
      </w:pPr>
      <w:r>
        <w:rPr>
          <w:rFonts w:ascii="Arial" w:hAnsi="Arial" w:cs="Arial"/>
          <w:b/>
          <w:bCs/>
          <w:sz w:val="26"/>
          <w:szCs w:val="26"/>
        </w:rPr>
        <w:t xml:space="preserve">The courses objectives: </w:t>
      </w:r>
    </w:p>
    <w:p w:rsidR="00500C9D" w:rsidRPr="00E12805" w:rsidRDefault="00500C9D" w:rsidP="00500C9D">
      <w:pPr>
        <w:bidi w:val="0"/>
        <w:ind w:left="26"/>
        <w:rPr>
          <w:rFonts w:ascii="Arial" w:hAnsi="Arial" w:cs="Arial"/>
          <w:sz w:val="26"/>
          <w:szCs w:val="26"/>
          <w:rtl/>
        </w:rPr>
      </w:pPr>
      <w:r w:rsidRPr="00E12805">
        <w:rPr>
          <w:rFonts w:ascii="Arial" w:hAnsi="Arial" w:cs="Arial"/>
          <w:sz w:val="26"/>
          <w:szCs w:val="26"/>
        </w:rPr>
        <w:t>Understanding the relationship between ethics and Jewish business law</w:t>
      </w:r>
    </w:p>
    <w:p w:rsidR="00500C9D" w:rsidRDefault="00500C9D" w:rsidP="00500C9D">
      <w:pPr>
        <w:bidi w:val="0"/>
        <w:ind w:left="226" w:firstLine="26"/>
        <w:rPr>
          <w:rFonts w:ascii="Arial" w:hAnsi="Arial" w:cs="Arial"/>
          <w:b/>
          <w:bCs/>
          <w:sz w:val="26"/>
          <w:szCs w:val="26"/>
        </w:rPr>
      </w:pPr>
    </w:p>
    <w:p w:rsidR="00500C9D" w:rsidRPr="00E12805" w:rsidRDefault="00500C9D" w:rsidP="00500C9D">
      <w:pPr>
        <w:bidi w:val="0"/>
        <w:ind w:left="26"/>
        <w:rPr>
          <w:rFonts w:ascii="Arial" w:hAnsi="Arial" w:cs="Arial"/>
          <w:sz w:val="26"/>
          <w:szCs w:val="26"/>
        </w:rPr>
      </w:pPr>
      <w:r>
        <w:rPr>
          <w:rFonts w:ascii="Arial" w:hAnsi="Arial" w:cs="Arial"/>
          <w:b/>
          <w:bCs/>
          <w:sz w:val="26"/>
          <w:szCs w:val="26"/>
        </w:rPr>
        <w:t xml:space="preserve">Course Description: </w:t>
      </w:r>
      <w:r w:rsidRPr="00E12805">
        <w:rPr>
          <w:rFonts w:ascii="Arial" w:hAnsi="Arial" w:cs="Arial"/>
          <w:sz w:val="26"/>
          <w:szCs w:val="26"/>
        </w:rPr>
        <w:t xml:space="preserve">The course will illustrate the relationship between ethics and business law. The course will begin with some basic jurisprudence to understand the source of law. The first topic will be the debate concerning natural law vs positive law and the role of ethics in law. The course will then show how this debate relates to Jewish law. Business topics will include: finding lost articles, charity, interest on loans, responsivity to pay debts, </w:t>
      </w:r>
      <w:r w:rsidRPr="00E12805">
        <w:rPr>
          <w:rFonts w:ascii="Arial" w:hAnsi="Arial" w:cs="Arial" w:hint="cs"/>
          <w:sz w:val="26"/>
          <w:szCs w:val="26"/>
          <w:rtl/>
        </w:rPr>
        <w:t>עני מהפך בחררה</w:t>
      </w:r>
      <w:r w:rsidRPr="00E12805">
        <w:rPr>
          <w:rFonts w:ascii="Arial" w:hAnsi="Arial" w:cs="Arial"/>
          <w:sz w:val="26"/>
          <w:szCs w:val="26"/>
        </w:rPr>
        <w:t xml:space="preserve">, cheating on tests, when Jewish business law is the determining factor and when the law of the state is the determining factor, and more. </w:t>
      </w:r>
    </w:p>
    <w:p w:rsidR="00500C9D" w:rsidRDefault="00500C9D" w:rsidP="00500C9D">
      <w:pPr>
        <w:bidi w:val="0"/>
        <w:ind w:left="26"/>
        <w:rPr>
          <w:rFonts w:ascii="Arial" w:hAnsi="Arial" w:cs="Arial"/>
          <w:b/>
          <w:bCs/>
          <w:sz w:val="26"/>
          <w:szCs w:val="26"/>
        </w:rPr>
      </w:pPr>
    </w:p>
    <w:p w:rsidR="00500C9D" w:rsidRDefault="00500C9D" w:rsidP="00500C9D">
      <w:pPr>
        <w:bidi w:val="0"/>
        <w:ind w:left="26"/>
        <w:rPr>
          <w:rFonts w:ascii="Arial" w:hAnsi="Arial" w:cs="Arial"/>
          <w:b/>
          <w:bCs/>
          <w:sz w:val="26"/>
          <w:szCs w:val="26"/>
        </w:rPr>
      </w:pPr>
      <w:r>
        <w:rPr>
          <w:rFonts w:ascii="Arial" w:hAnsi="Arial" w:cs="Arial"/>
          <w:b/>
          <w:bCs/>
          <w:sz w:val="26"/>
          <w:szCs w:val="26"/>
          <w:rtl/>
        </w:rPr>
        <w:t xml:space="preserve"> </w:t>
      </w:r>
      <w:r>
        <w:rPr>
          <w:rFonts w:ascii="Arial" w:hAnsi="Arial" w:cs="Arial"/>
          <w:b/>
          <w:bCs/>
          <w:sz w:val="26"/>
          <w:szCs w:val="26"/>
        </w:rPr>
        <w:t xml:space="preserve">The Process of the Course: </w:t>
      </w:r>
    </w:p>
    <w:p w:rsidR="00500C9D" w:rsidRPr="00E12805" w:rsidRDefault="00500C9D" w:rsidP="00500C9D">
      <w:pPr>
        <w:bidi w:val="0"/>
        <w:ind w:left="26"/>
        <w:rPr>
          <w:rFonts w:ascii="Arial" w:hAnsi="Arial" w:cs="Arial"/>
        </w:rPr>
      </w:pPr>
      <w:proofErr w:type="gramStart"/>
      <w:r w:rsidRPr="00E12805">
        <w:rPr>
          <w:rFonts w:ascii="Arial" w:hAnsi="Arial" w:cs="Arial"/>
          <w:sz w:val="26"/>
          <w:szCs w:val="26"/>
        </w:rPr>
        <w:t>Power Point Presentations and texts.</w:t>
      </w:r>
      <w:proofErr w:type="gramEnd"/>
      <w:r w:rsidRPr="00E12805">
        <w:rPr>
          <w:rFonts w:ascii="Arial" w:hAnsi="Arial" w:cs="Arial"/>
          <w:sz w:val="26"/>
          <w:szCs w:val="26"/>
        </w:rPr>
        <w:t xml:space="preserve"> </w:t>
      </w:r>
    </w:p>
    <w:p w:rsidR="00500C9D" w:rsidRDefault="00500C9D" w:rsidP="00500C9D">
      <w:pPr>
        <w:bidi w:val="0"/>
        <w:ind w:left="26"/>
        <w:rPr>
          <w:rFonts w:ascii="Arial" w:hAnsi="Arial" w:cs="Arial"/>
        </w:rPr>
      </w:pPr>
    </w:p>
    <w:p w:rsidR="00500C9D" w:rsidRDefault="00500C9D" w:rsidP="00500C9D">
      <w:pPr>
        <w:bidi w:val="0"/>
        <w:ind w:left="26"/>
        <w:rPr>
          <w:rFonts w:ascii="Arial" w:hAnsi="Arial" w:cs="Arial"/>
        </w:rPr>
      </w:pPr>
      <w:r>
        <w:rPr>
          <w:rFonts w:ascii="Arial" w:hAnsi="Arial" w:cs="Arial"/>
          <w:b/>
          <w:bCs/>
          <w:rtl/>
        </w:rPr>
        <w:t xml:space="preserve">  </w:t>
      </w:r>
      <w:r>
        <w:rPr>
          <w:rFonts w:ascii="Arial" w:hAnsi="Arial" w:cs="Arial"/>
          <w:b/>
          <w:bCs/>
        </w:rPr>
        <w:t>Detailed Lesson plan:</w:t>
      </w:r>
    </w:p>
    <w:p w:rsidR="00500C9D" w:rsidRPr="00960575" w:rsidRDefault="00500C9D" w:rsidP="00500C9D">
      <w:pPr>
        <w:bidi w:val="0"/>
        <w:ind w:left="26"/>
        <w:rPr>
          <w:rFonts w:ascii="Arial" w:hAnsi="Arial" w:cs="Arial"/>
          <w:rtl/>
        </w:rPr>
      </w:pPr>
    </w:p>
    <w:tbl>
      <w:tblPr>
        <w:bidiVisual/>
        <w:tblW w:w="0" w:type="auto"/>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843"/>
        <w:gridCol w:w="2126"/>
      </w:tblGrid>
      <w:tr w:rsidR="00500C9D" w:rsidRPr="004578DA" w:rsidTr="00BA7DBA">
        <w:tc>
          <w:tcPr>
            <w:tcW w:w="3544" w:type="dxa"/>
            <w:shd w:val="clear" w:color="auto" w:fill="auto"/>
          </w:tcPr>
          <w:p w:rsidR="00500C9D" w:rsidRPr="004578DA" w:rsidRDefault="00500C9D" w:rsidP="00BA7DBA">
            <w:pPr>
              <w:bidi w:val="0"/>
              <w:spacing w:line="360" w:lineRule="auto"/>
              <w:rPr>
                <w:rFonts w:ascii="Arial" w:hAnsi="Arial" w:cs="Arial"/>
              </w:rPr>
            </w:pPr>
            <w:r w:rsidRPr="004578DA">
              <w:rPr>
                <w:rFonts w:ascii="Arial" w:hAnsi="Arial" w:cs="Arial"/>
              </w:rPr>
              <w:t>Required Reading</w:t>
            </w:r>
          </w:p>
        </w:tc>
        <w:tc>
          <w:tcPr>
            <w:tcW w:w="1843" w:type="dxa"/>
            <w:shd w:val="clear" w:color="auto" w:fill="auto"/>
          </w:tcPr>
          <w:p w:rsidR="00500C9D" w:rsidRPr="004578DA" w:rsidRDefault="00500C9D" w:rsidP="00BA7DBA">
            <w:pPr>
              <w:bidi w:val="0"/>
              <w:spacing w:line="360" w:lineRule="auto"/>
              <w:rPr>
                <w:rFonts w:ascii="Arial" w:hAnsi="Arial" w:cs="Arial"/>
              </w:rPr>
            </w:pPr>
            <w:r w:rsidRPr="004578DA">
              <w:rPr>
                <w:rFonts w:ascii="Arial" w:hAnsi="Arial" w:cs="Arial"/>
              </w:rPr>
              <w:t>Topic of the Lesson</w:t>
            </w:r>
          </w:p>
        </w:tc>
        <w:tc>
          <w:tcPr>
            <w:tcW w:w="2126" w:type="dxa"/>
            <w:shd w:val="clear" w:color="auto" w:fill="auto"/>
          </w:tcPr>
          <w:p w:rsidR="00500C9D" w:rsidRPr="004578DA" w:rsidRDefault="00500C9D" w:rsidP="00BA7DBA">
            <w:pPr>
              <w:bidi w:val="0"/>
              <w:spacing w:line="360" w:lineRule="auto"/>
              <w:rPr>
                <w:rFonts w:ascii="Arial" w:hAnsi="Arial" w:cs="Arial"/>
              </w:rPr>
            </w:pPr>
            <w:r w:rsidRPr="004578DA">
              <w:rPr>
                <w:rFonts w:ascii="Arial" w:hAnsi="Arial" w:cs="Arial"/>
              </w:rPr>
              <w:t>Number of Lesson</w:t>
            </w:r>
          </w:p>
        </w:tc>
      </w:tr>
      <w:tr w:rsidR="00500C9D" w:rsidRPr="004578DA" w:rsidTr="00BA7DBA">
        <w:tc>
          <w:tcPr>
            <w:tcW w:w="3544" w:type="dxa"/>
            <w:shd w:val="clear" w:color="auto" w:fill="auto"/>
          </w:tcPr>
          <w:p w:rsidR="00500C9D" w:rsidRPr="00C649A2" w:rsidRDefault="00500C9D" w:rsidP="00BA7DBA">
            <w:pPr>
              <w:spacing w:before="120"/>
              <w:ind w:left="505" w:hanging="505"/>
              <w:jc w:val="right"/>
            </w:pPr>
            <w:r w:rsidRPr="00810B13">
              <w:t>Hart, H.L.A. "Positivism and the Separation of Law and Morals</w:t>
            </w:r>
            <w:r>
              <w:t xml:space="preserve">, </w:t>
            </w:r>
            <w:r w:rsidRPr="00810B13">
              <w:t>pp. 607-615.</w:t>
            </w:r>
          </w:p>
        </w:tc>
        <w:tc>
          <w:tcPr>
            <w:tcW w:w="1843" w:type="dxa"/>
            <w:shd w:val="clear" w:color="auto" w:fill="auto"/>
          </w:tcPr>
          <w:p w:rsidR="00500C9D" w:rsidRPr="004578DA" w:rsidRDefault="00500C9D" w:rsidP="00BA7DBA">
            <w:pPr>
              <w:bidi w:val="0"/>
              <w:spacing w:line="360" w:lineRule="auto"/>
              <w:rPr>
                <w:rFonts w:ascii="Arial" w:hAnsi="Arial" w:cs="Arial"/>
              </w:rPr>
            </w:pPr>
            <w:r>
              <w:rPr>
                <w:rFonts w:ascii="Arial" w:hAnsi="Arial" w:cs="Arial"/>
              </w:rPr>
              <w:t>Natural Law</w:t>
            </w:r>
          </w:p>
        </w:tc>
        <w:tc>
          <w:tcPr>
            <w:tcW w:w="2126" w:type="dxa"/>
            <w:shd w:val="clear" w:color="auto" w:fill="auto"/>
          </w:tcPr>
          <w:p w:rsidR="00500C9D" w:rsidRPr="004578DA" w:rsidRDefault="00500C9D" w:rsidP="00BA7DBA">
            <w:pPr>
              <w:bidi w:val="0"/>
              <w:spacing w:line="360" w:lineRule="auto"/>
              <w:rPr>
                <w:rFonts w:ascii="Arial" w:hAnsi="Arial" w:cs="Arial"/>
              </w:rPr>
            </w:pPr>
            <w:r w:rsidRPr="004578DA">
              <w:rPr>
                <w:rFonts w:ascii="Arial" w:hAnsi="Arial" w:cs="Arial"/>
                <w:rtl/>
              </w:rPr>
              <w:t>1</w:t>
            </w:r>
          </w:p>
        </w:tc>
      </w:tr>
      <w:tr w:rsidR="00500C9D" w:rsidRPr="004578DA" w:rsidTr="00BA7DBA">
        <w:tc>
          <w:tcPr>
            <w:tcW w:w="3544" w:type="dxa"/>
            <w:shd w:val="clear" w:color="auto" w:fill="auto"/>
          </w:tcPr>
          <w:p w:rsidR="00500C9D" w:rsidRPr="00C649A2" w:rsidRDefault="00500C9D" w:rsidP="00BA7DBA">
            <w:pPr>
              <w:spacing w:before="120"/>
              <w:ind w:left="505" w:hanging="505"/>
              <w:jc w:val="right"/>
            </w:pPr>
            <w:r w:rsidRPr="00810B13">
              <w:t xml:space="preserve">Green, Leslie "Legal Positivism," </w:t>
            </w:r>
            <w:r w:rsidRPr="00810B13">
              <w:rPr>
                <w:i/>
                <w:iCs/>
              </w:rPr>
              <w:t>Stanford Encyclopedia of Philosophy</w:t>
            </w:r>
            <w:r w:rsidRPr="00810B13">
              <w:t xml:space="preserve">, 2003. </w:t>
            </w:r>
            <w:hyperlink r:id="rId6" w:history="1">
              <w:r w:rsidRPr="00810B13">
                <w:rPr>
                  <w:u w:val="single"/>
                </w:rPr>
                <w:t>http://plato.stanford.edu/entries/legal-positivism/</w:t>
              </w:r>
            </w:hyperlink>
          </w:p>
        </w:tc>
        <w:tc>
          <w:tcPr>
            <w:tcW w:w="1843" w:type="dxa"/>
            <w:shd w:val="clear" w:color="auto" w:fill="auto"/>
          </w:tcPr>
          <w:p w:rsidR="00500C9D" w:rsidRPr="004578DA" w:rsidRDefault="00500C9D" w:rsidP="00BA7DBA">
            <w:pPr>
              <w:bidi w:val="0"/>
              <w:spacing w:line="360" w:lineRule="auto"/>
              <w:rPr>
                <w:rFonts w:ascii="Arial" w:hAnsi="Arial" w:cs="Arial"/>
              </w:rPr>
            </w:pPr>
            <w:r>
              <w:rPr>
                <w:rFonts w:ascii="Arial" w:hAnsi="Arial" w:cs="Arial"/>
              </w:rPr>
              <w:t>Positive Law</w:t>
            </w:r>
          </w:p>
        </w:tc>
        <w:tc>
          <w:tcPr>
            <w:tcW w:w="2126" w:type="dxa"/>
            <w:shd w:val="clear" w:color="auto" w:fill="auto"/>
          </w:tcPr>
          <w:p w:rsidR="00500C9D" w:rsidRPr="004578DA" w:rsidRDefault="00500C9D" w:rsidP="00BA7DBA">
            <w:pPr>
              <w:bidi w:val="0"/>
              <w:spacing w:line="360" w:lineRule="auto"/>
              <w:rPr>
                <w:rFonts w:ascii="Arial" w:hAnsi="Arial" w:cs="Arial"/>
              </w:rPr>
            </w:pPr>
            <w:r w:rsidRPr="004578DA">
              <w:rPr>
                <w:rFonts w:ascii="Arial" w:hAnsi="Arial" w:cs="Arial"/>
                <w:rtl/>
              </w:rPr>
              <w:t>2</w:t>
            </w:r>
          </w:p>
        </w:tc>
      </w:tr>
      <w:tr w:rsidR="00500C9D" w:rsidRPr="004578DA" w:rsidTr="00BA7DBA">
        <w:tc>
          <w:tcPr>
            <w:tcW w:w="3544" w:type="dxa"/>
            <w:shd w:val="clear" w:color="auto" w:fill="auto"/>
          </w:tcPr>
          <w:p w:rsidR="00500C9D" w:rsidRPr="00CF0FB5" w:rsidRDefault="00500C9D" w:rsidP="00BA7DBA">
            <w:pPr>
              <w:spacing w:before="120"/>
              <w:ind w:left="505" w:hanging="505"/>
              <w:jc w:val="right"/>
            </w:pPr>
            <w:proofErr w:type="spellStart"/>
            <w:r w:rsidRPr="00810B13">
              <w:t>Faur</w:t>
            </w:r>
            <w:proofErr w:type="spellEnd"/>
            <w:r w:rsidRPr="00810B13">
              <w:t xml:space="preserve">, Jose, "The Fundamental Principles of Jewish Jurisprudence," </w:t>
            </w:r>
            <w:r>
              <w:t>/</w:t>
            </w:r>
            <w:r w:rsidRPr="00810B13">
              <w:t xml:space="preserve"> Novak, David, </w:t>
            </w:r>
            <w:r w:rsidRPr="00810B13">
              <w:rPr>
                <w:i/>
                <w:iCs/>
              </w:rPr>
              <w:t>Natural Law in Judaism</w:t>
            </w:r>
            <w:r w:rsidRPr="00810B13">
              <w:t xml:space="preserve"> </w:t>
            </w:r>
          </w:p>
        </w:tc>
        <w:tc>
          <w:tcPr>
            <w:tcW w:w="1843" w:type="dxa"/>
            <w:shd w:val="clear" w:color="auto" w:fill="auto"/>
          </w:tcPr>
          <w:p w:rsidR="00500C9D" w:rsidRPr="004578DA" w:rsidRDefault="00500C9D" w:rsidP="00BA7DBA">
            <w:pPr>
              <w:bidi w:val="0"/>
              <w:rPr>
                <w:rFonts w:ascii="Arial" w:hAnsi="Arial" w:cs="Arial"/>
              </w:rPr>
            </w:pPr>
            <w:r>
              <w:rPr>
                <w:rFonts w:ascii="Arial" w:hAnsi="Arial" w:cs="Arial"/>
              </w:rPr>
              <w:t>The Torah: Natural Law or Positive Law?</w:t>
            </w:r>
          </w:p>
        </w:tc>
        <w:tc>
          <w:tcPr>
            <w:tcW w:w="2126" w:type="dxa"/>
            <w:shd w:val="clear" w:color="auto" w:fill="auto"/>
          </w:tcPr>
          <w:p w:rsidR="00500C9D" w:rsidRPr="004578DA" w:rsidRDefault="00500C9D" w:rsidP="00BA7DBA">
            <w:pPr>
              <w:bidi w:val="0"/>
              <w:spacing w:line="360" w:lineRule="auto"/>
              <w:rPr>
                <w:rFonts w:ascii="Arial" w:hAnsi="Arial" w:cs="Arial"/>
                <w:rtl/>
              </w:rPr>
            </w:pPr>
            <w:r w:rsidRPr="004578DA">
              <w:rPr>
                <w:rFonts w:ascii="Arial" w:hAnsi="Arial" w:cs="Arial"/>
                <w:rtl/>
              </w:rPr>
              <w:t>3</w:t>
            </w:r>
          </w:p>
        </w:tc>
      </w:tr>
      <w:tr w:rsidR="00500C9D" w:rsidRPr="004578DA" w:rsidTr="00BA7DBA">
        <w:tc>
          <w:tcPr>
            <w:tcW w:w="3544" w:type="dxa"/>
            <w:shd w:val="clear" w:color="auto" w:fill="auto"/>
          </w:tcPr>
          <w:p w:rsidR="00500C9D" w:rsidRPr="00CF0FB5" w:rsidRDefault="00500C9D" w:rsidP="00BA7DBA">
            <w:pPr>
              <w:spacing w:before="120"/>
              <w:ind w:left="505" w:hanging="505"/>
              <w:jc w:val="right"/>
            </w:pPr>
            <w:r w:rsidRPr="00810B13">
              <w:lastRenderedPageBreak/>
              <w:t xml:space="preserve">Lichtenstein, Aaron, “The Human and Social Factor in Halakha," </w:t>
            </w:r>
            <w:r w:rsidRPr="00810B13">
              <w:rPr>
                <w:i/>
                <w:iCs/>
              </w:rPr>
              <w:t>Tradition</w:t>
            </w:r>
            <w:r w:rsidRPr="00810B13">
              <w:t>, pp. 1- 25.</w:t>
            </w:r>
            <w:r w:rsidRPr="00810B13">
              <w:rPr>
                <w:rtl/>
              </w:rPr>
              <w:t xml:space="preserve"> </w:t>
            </w:r>
          </w:p>
        </w:tc>
        <w:tc>
          <w:tcPr>
            <w:tcW w:w="1843" w:type="dxa"/>
            <w:shd w:val="clear" w:color="auto" w:fill="auto"/>
          </w:tcPr>
          <w:p w:rsidR="00500C9D" w:rsidRPr="004578DA" w:rsidRDefault="00500C9D" w:rsidP="00BA7DBA">
            <w:pPr>
              <w:bidi w:val="0"/>
              <w:rPr>
                <w:rFonts w:ascii="Arial" w:hAnsi="Arial" w:cs="Arial"/>
              </w:rPr>
            </w:pPr>
            <w:r>
              <w:rPr>
                <w:rFonts w:ascii="Arial" w:hAnsi="Arial" w:cs="Arial"/>
              </w:rPr>
              <w:t>The humane aspect in Jewish law</w:t>
            </w:r>
          </w:p>
        </w:tc>
        <w:tc>
          <w:tcPr>
            <w:tcW w:w="2126" w:type="dxa"/>
            <w:shd w:val="clear" w:color="auto" w:fill="auto"/>
          </w:tcPr>
          <w:p w:rsidR="00500C9D" w:rsidRPr="004578DA" w:rsidRDefault="00500C9D" w:rsidP="00BA7DBA">
            <w:pPr>
              <w:bidi w:val="0"/>
              <w:spacing w:line="360" w:lineRule="auto"/>
              <w:rPr>
                <w:rFonts w:ascii="Arial" w:hAnsi="Arial" w:cs="Arial"/>
                <w:rtl/>
              </w:rPr>
            </w:pPr>
            <w:r>
              <w:rPr>
                <w:rFonts w:ascii="Arial" w:hAnsi="Arial" w:cs="Arial"/>
              </w:rPr>
              <w:t>4.</w:t>
            </w:r>
          </w:p>
        </w:tc>
      </w:tr>
      <w:tr w:rsidR="00500C9D" w:rsidRPr="004578DA" w:rsidTr="00BA7DBA">
        <w:tc>
          <w:tcPr>
            <w:tcW w:w="3544" w:type="dxa"/>
            <w:shd w:val="clear" w:color="auto" w:fill="auto"/>
          </w:tcPr>
          <w:p w:rsidR="00500C9D" w:rsidRPr="00CF0FB5" w:rsidRDefault="00500C9D" w:rsidP="00BA7DBA">
            <w:pPr>
              <w:bidi w:val="0"/>
              <w:spacing w:before="120"/>
            </w:pPr>
            <w:r w:rsidRPr="00810B13">
              <w:t xml:space="preserve">Brown, Benjamin, "From Principles to Rules and from </w:t>
            </w:r>
            <w:proofErr w:type="spellStart"/>
            <w:r w:rsidRPr="00810B13">
              <w:t>Musar</w:t>
            </w:r>
            <w:proofErr w:type="spellEnd"/>
            <w:r w:rsidRPr="00810B13">
              <w:t xml:space="preserve"> to </w:t>
            </w:r>
            <w:proofErr w:type="spellStart"/>
            <w:r w:rsidRPr="00810B13">
              <w:t>Halakhah</w:t>
            </w:r>
            <w:proofErr w:type="spellEnd"/>
            <w:r w:rsidRPr="00810B13">
              <w:t>: pp. 171-256.</w:t>
            </w:r>
          </w:p>
        </w:tc>
        <w:tc>
          <w:tcPr>
            <w:tcW w:w="1843" w:type="dxa"/>
            <w:shd w:val="clear" w:color="auto" w:fill="auto"/>
          </w:tcPr>
          <w:p w:rsidR="00500C9D" w:rsidRPr="004578DA" w:rsidRDefault="00500C9D" w:rsidP="00BA7DBA">
            <w:pPr>
              <w:bidi w:val="0"/>
              <w:rPr>
                <w:rFonts w:ascii="Arial" w:hAnsi="Arial" w:cs="Arial"/>
              </w:rPr>
            </w:pPr>
            <w:r>
              <w:rPr>
                <w:rFonts w:ascii="Arial" w:hAnsi="Arial" w:cs="Arial"/>
              </w:rPr>
              <w:t>Morals and law/ morals and Torah</w:t>
            </w:r>
          </w:p>
        </w:tc>
        <w:tc>
          <w:tcPr>
            <w:tcW w:w="2126" w:type="dxa"/>
            <w:shd w:val="clear" w:color="auto" w:fill="auto"/>
          </w:tcPr>
          <w:p w:rsidR="00500C9D" w:rsidRPr="004578DA" w:rsidRDefault="00500C9D" w:rsidP="00BA7DBA">
            <w:pPr>
              <w:bidi w:val="0"/>
              <w:spacing w:line="360" w:lineRule="auto"/>
              <w:rPr>
                <w:rFonts w:ascii="Arial" w:hAnsi="Arial" w:cs="Arial"/>
                <w:rtl/>
              </w:rPr>
            </w:pPr>
            <w:r>
              <w:rPr>
                <w:rFonts w:ascii="Arial" w:hAnsi="Arial" w:cs="Arial"/>
              </w:rPr>
              <w:t>5.</w:t>
            </w:r>
          </w:p>
        </w:tc>
      </w:tr>
      <w:tr w:rsidR="00500C9D" w:rsidRPr="004578DA" w:rsidTr="00BA7DBA">
        <w:tc>
          <w:tcPr>
            <w:tcW w:w="3544" w:type="dxa"/>
            <w:shd w:val="clear" w:color="auto" w:fill="auto"/>
          </w:tcPr>
          <w:p w:rsidR="00500C9D" w:rsidRPr="004578DA" w:rsidRDefault="00500C9D" w:rsidP="00BA7DBA">
            <w:pPr>
              <w:bidi w:val="0"/>
              <w:spacing w:line="360" w:lineRule="auto"/>
              <w:rPr>
                <w:rFonts w:ascii="Arial" w:hAnsi="Arial" w:cs="Arial"/>
              </w:rPr>
            </w:pPr>
          </w:p>
        </w:tc>
        <w:tc>
          <w:tcPr>
            <w:tcW w:w="1843" w:type="dxa"/>
            <w:shd w:val="clear" w:color="auto" w:fill="auto"/>
          </w:tcPr>
          <w:p w:rsidR="00500C9D" w:rsidRPr="004578DA" w:rsidRDefault="00500C9D" w:rsidP="00BA7DBA">
            <w:pPr>
              <w:bidi w:val="0"/>
              <w:rPr>
                <w:rFonts w:ascii="Arial" w:hAnsi="Arial" w:cs="Arial"/>
                <w:rtl/>
              </w:rPr>
            </w:pPr>
            <w:r>
              <w:rPr>
                <w:rFonts w:ascii="Arial" w:hAnsi="Arial" w:cs="Arial" w:hint="cs"/>
                <w:rtl/>
              </w:rPr>
              <w:t>עני מהפך בחררה</w:t>
            </w:r>
          </w:p>
        </w:tc>
        <w:tc>
          <w:tcPr>
            <w:tcW w:w="2126" w:type="dxa"/>
            <w:shd w:val="clear" w:color="auto" w:fill="auto"/>
          </w:tcPr>
          <w:p w:rsidR="00500C9D" w:rsidRPr="004578DA" w:rsidRDefault="00500C9D" w:rsidP="00BA7DBA">
            <w:pPr>
              <w:bidi w:val="0"/>
              <w:spacing w:line="360" w:lineRule="auto"/>
              <w:rPr>
                <w:rFonts w:ascii="Arial" w:hAnsi="Arial" w:cs="Arial"/>
                <w:rtl/>
              </w:rPr>
            </w:pPr>
            <w:r>
              <w:rPr>
                <w:rFonts w:ascii="Arial" w:hAnsi="Arial" w:cs="Arial"/>
              </w:rPr>
              <w:t>6.-7.</w:t>
            </w:r>
          </w:p>
        </w:tc>
      </w:tr>
      <w:tr w:rsidR="00500C9D" w:rsidRPr="004578DA" w:rsidTr="00BA7DBA">
        <w:tc>
          <w:tcPr>
            <w:tcW w:w="3544" w:type="dxa"/>
            <w:shd w:val="clear" w:color="auto" w:fill="auto"/>
          </w:tcPr>
          <w:p w:rsidR="00500C9D" w:rsidRPr="00810B13" w:rsidRDefault="00500C9D" w:rsidP="00BA7DBA">
            <w:pPr>
              <w:bidi w:val="0"/>
              <w:spacing w:before="120"/>
              <w:ind w:left="505" w:hanging="505"/>
            </w:pPr>
            <w:proofErr w:type="spellStart"/>
            <w:r>
              <w:t>Broyde</w:t>
            </w:r>
            <w:proofErr w:type="spellEnd"/>
            <w:r>
              <w:t xml:space="preserve">, Michael and Michael </w:t>
            </w:r>
            <w:r w:rsidRPr="00810B13">
              <w:t xml:space="preserve">Hecht, "The Return of Lost Property According to Jewish &amp; Common Law: A Comparison," </w:t>
            </w:r>
            <w:hyperlink r:id="rId7" w:history="1">
              <w:r w:rsidRPr="00810B13">
                <w:rPr>
                  <w:u w:val="single"/>
                </w:rPr>
                <w:t>http://www.jlaw.com/Articles/avedah</w:t>
              </w:r>
            </w:hyperlink>
          </w:p>
          <w:p w:rsidR="00500C9D" w:rsidRPr="004578DA" w:rsidRDefault="00500C9D" w:rsidP="00BA7DBA">
            <w:pPr>
              <w:bidi w:val="0"/>
              <w:spacing w:line="360" w:lineRule="auto"/>
              <w:rPr>
                <w:rFonts w:ascii="Arial" w:hAnsi="Arial" w:cs="Arial"/>
              </w:rPr>
            </w:pPr>
          </w:p>
        </w:tc>
        <w:tc>
          <w:tcPr>
            <w:tcW w:w="1843" w:type="dxa"/>
            <w:shd w:val="clear" w:color="auto" w:fill="auto"/>
          </w:tcPr>
          <w:p w:rsidR="00500C9D" w:rsidRPr="004578DA" w:rsidRDefault="00500C9D" w:rsidP="00BA7DBA">
            <w:pPr>
              <w:bidi w:val="0"/>
              <w:rPr>
                <w:rFonts w:ascii="Arial" w:hAnsi="Arial" w:cs="Arial"/>
              </w:rPr>
            </w:pPr>
            <w:r>
              <w:rPr>
                <w:rFonts w:ascii="Arial" w:hAnsi="Arial" w:cs="Arial"/>
              </w:rPr>
              <w:t>Finding lost objects</w:t>
            </w:r>
          </w:p>
        </w:tc>
        <w:tc>
          <w:tcPr>
            <w:tcW w:w="2126" w:type="dxa"/>
            <w:shd w:val="clear" w:color="auto" w:fill="auto"/>
          </w:tcPr>
          <w:p w:rsidR="00500C9D" w:rsidRPr="004578DA" w:rsidRDefault="00500C9D" w:rsidP="00BA7DBA">
            <w:pPr>
              <w:bidi w:val="0"/>
              <w:spacing w:line="360" w:lineRule="auto"/>
              <w:rPr>
                <w:rFonts w:ascii="Arial" w:hAnsi="Arial" w:cs="Arial"/>
                <w:rtl/>
              </w:rPr>
            </w:pPr>
            <w:r>
              <w:rPr>
                <w:rFonts w:ascii="Arial" w:hAnsi="Arial" w:cs="Arial"/>
              </w:rPr>
              <w:t>8.</w:t>
            </w:r>
          </w:p>
        </w:tc>
      </w:tr>
      <w:tr w:rsidR="00500C9D" w:rsidRPr="004578DA" w:rsidTr="00BA7DBA">
        <w:tc>
          <w:tcPr>
            <w:tcW w:w="3544" w:type="dxa"/>
            <w:shd w:val="clear" w:color="auto" w:fill="auto"/>
          </w:tcPr>
          <w:p w:rsidR="00500C9D" w:rsidRPr="004578DA" w:rsidRDefault="00500C9D" w:rsidP="00BA7DBA">
            <w:pPr>
              <w:bidi w:val="0"/>
              <w:rPr>
                <w:rFonts w:ascii="Arial" w:hAnsi="Arial" w:cs="Arial"/>
              </w:rPr>
            </w:pPr>
            <w:proofErr w:type="spellStart"/>
            <w:r w:rsidRPr="00810B13">
              <w:t>Bleich</w:t>
            </w:r>
            <w:proofErr w:type="spellEnd"/>
            <w:r w:rsidRPr="00810B13">
              <w:t xml:space="preserve">, J. David, "Survey of Recent Halakhic Periodical Literature: The </w:t>
            </w:r>
            <w:proofErr w:type="spellStart"/>
            <w:r w:rsidRPr="00810B13">
              <w:t>Heter</w:t>
            </w:r>
            <w:proofErr w:type="spellEnd"/>
            <w:r w:rsidRPr="00810B13">
              <w:t xml:space="preserve"> </w:t>
            </w:r>
            <w:proofErr w:type="spellStart"/>
            <w:r w:rsidRPr="00810B13">
              <w:t>Iska</w:t>
            </w:r>
            <w:proofErr w:type="spellEnd"/>
            <w:r w:rsidRPr="00810B13">
              <w:t xml:space="preserve"> and American Courts," </w:t>
            </w:r>
            <w:r w:rsidRPr="00810B13">
              <w:rPr>
                <w:i/>
                <w:iCs/>
              </w:rPr>
              <w:t>Tradition</w:t>
            </w:r>
            <w:r w:rsidRPr="00810B13">
              <w:t xml:space="preserve">, </w:t>
            </w:r>
            <w:proofErr w:type="spellStart"/>
            <w:r w:rsidRPr="00810B13">
              <w:t>vol</w:t>
            </w:r>
            <w:proofErr w:type="spellEnd"/>
            <w:r w:rsidRPr="00810B13">
              <w:t xml:space="preserve"> 42, 4, 2009, pp.  49- 79.</w:t>
            </w:r>
          </w:p>
        </w:tc>
        <w:tc>
          <w:tcPr>
            <w:tcW w:w="1843" w:type="dxa"/>
            <w:shd w:val="clear" w:color="auto" w:fill="auto"/>
          </w:tcPr>
          <w:p w:rsidR="00500C9D" w:rsidRPr="004578DA" w:rsidRDefault="00500C9D" w:rsidP="00BA7DBA">
            <w:pPr>
              <w:bidi w:val="0"/>
              <w:rPr>
                <w:rFonts w:ascii="Arial" w:hAnsi="Arial" w:cs="Arial"/>
              </w:rPr>
            </w:pPr>
            <w:r>
              <w:rPr>
                <w:rFonts w:ascii="Arial" w:hAnsi="Arial" w:cs="Arial"/>
              </w:rPr>
              <w:t xml:space="preserve">Interest in loans and </w:t>
            </w:r>
            <w:proofErr w:type="spellStart"/>
            <w:r>
              <w:rPr>
                <w:rFonts w:ascii="Arial" w:hAnsi="Arial" w:cs="Arial"/>
              </w:rPr>
              <w:t>heter</w:t>
            </w:r>
            <w:proofErr w:type="spellEnd"/>
            <w:r>
              <w:rPr>
                <w:rFonts w:ascii="Arial" w:hAnsi="Arial" w:cs="Arial"/>
              </w:rPr>
              <w:t xml:space="preserve"> </w:t>
            </w:r>
            <w:proofErr w:type="spellStart"/>
            <w:r>
              <w:rPr>
                <w:rFonts w:ascii="Arial" w:hAnsi="Arial" w:cs="Arial"/>
              </w:rPr>
              <w:t>iska</w:t>
            </w:r>
            <w:proofErr w:type="spellEnd"/>
            <w:r>
              <w:rPr>
                <w:rFonts w:ascii="Arial" w:hAnsi="Arial" w:cs="Arial"/>
              </w:rPr>
              <w:t>/ charity laws</w:t>
            </w:r>
          </w:p>
        </w:tc>
        <w:tc>
          <w:tcPr>
            <w:tcW w:w="2126" w:type="dxa"/>
            <w:shd w:val="clear" w:color="auto" w:fill="auto"/>
          </w:tcPr>
          <w:p w:rsidR="00500C9D" w:rsidRPr="004578DA" w:rsidRDefault="00500C9D" w:rsidP="00BA7DBA">
            <w:pPr>
              <w:bidi w:val="0"/>
              <w:spacing w:line="360" w:lineRule="auto"/>
              <w:rPr>
                <w:rFonts w:ascii="Arial" w:hAnsi="Arial" w:cs="Arial"/>
                <w:rtl/>
              </w:rPr>
            </w:pPr>
            <w:r>
              <w:rPr>
                <w:rFonts w:ascii="Arial" w:hAnsi="Arial" w:cs="Arial"/>
              </w:rPr>
              <w:t>9.</w:t>
            </w:r>
          </w:p>
        </w:tc>
      </w:tr>
      <w:tr w:rsidR="00500C9D" w:rsidRPr="004578DA" w:rsidTr="00BA7DBA">
        <w:tc>
          <w:tcPr>
            <w:tcW w:w="3544" w:type="dxa"/>
            <w:shd w:val="clear" w:color="auto" w:fill="auto"/>
          </w:tcPr>
          <w:p w:rsidR="00500C9D" w:rsidRPr="00810B13" w:rsidRDefault="00500C9D" w:rsidP="00BA7DBA">
            <w:pPr>
              <w:bidi w:val="0"/>
              <w:spacing w:before="120"/>
            </w:pPr>
            <w:proofErr w:type="spellStart"/>
            <w:r w:rsidRPr="00810B13">
              <w:t>Englard</w:t>
            </w:r>
            <w:proofErr w:type="spellEnd"/>
            <w:r w:rsidRPr="00810B13">
              <w:t xml:space="preserve">, </w:t>
            </w:r>
            <w:proofErr w:type="spellStart"/>
            <w:r>
              <w:t>It</w:t>
            </w:r>
            <w:r w:rsidRPr="00810B13">
              <w:t>zhak</w:t>
            </w:r>
            <w:proofErr w:type="spellEnd"/>
            <w:r w:rsidRPr="00810B13">
              <w:t>, "The Relationship between Religion and State in Israel," pp. 168-189.</w:t>
            </w:r>
          </w:p>
          <w:p w:rsidR="00500C9D" w:rsidRPr="004578DA" w:rsidRDefault="00500C9D" w:rsidP="00BA7DBA">
            <w:pPr>
              <w:bidi w:val="0"/>
              <w:spacing w:line="360" w:lineRule="auto"/>
              <w:rPr>
                <w:rFonts w:ascii="Arial" w:hAnsi="Arial" w:cs="Arial"/>
              </w:rPr>
            </w:pPr>
          </w:p>
        </w:tc>
        <w:tc>
          <w:tcPr>
            <w:tcW w:w="1843" w:type="dxa"/>
            <w:shd w:val="clear" w:color="auto" w:fill="auto"/>
          </w:tcPr>
          <w:p w:rsidR="00500C9D" w:rsidRDefault="00500C9D" w:rsidP="00BA7DBA">
            <w:pPr>
              <w:bidi w:val="0"/>
              <w:rPr>
                <w:rFonts w:ascii="Arial" w:hAnsi="Arial" w:cs="Arial"/>
              </w:rPr>
            </w:pPr>
            <w:r>
              <w:rPr>
                <w:rFonts w:ascii="Arial" w:hAnsi="Arial" w:cs="Arial"/>
              </w:rPr>
              <w:t xml:space="preserve">Philosophical aspects of the rule: </w:t>
            </w:r>
            <w:proofErr w:type="spellStart"/>
            <w:r>
              <w:rPr>
                <w:rFonts w:ascii="Arial" w:hAnsi="Arial" w:cs="Arial"/>
              </w:rPr>
              <w:t>dina</w:t>
            </w:r>
            <w:proofErr w:type="spellEnd"/>
            <w:r>
              <w:rPr>
                <w:rFonts w:ascii="Arial" w:hAnsi="Arial" w:cs="Arial"/>
              </w:rPr>
              <w:t xml:space="preserve"> </w:t>
            </w:r>
            <w:proofErr w:type="spellStart"/>
            <w:r>
              <w:rPr>
                <w:rFonts w:ascii="Arial" w:hAnsi="Arial" w:cs="Arial"/>
              </w:rPr>
              <w:t>demalkhuta</w:t>
            </w:r>
            <w:proofErr w:type="spellEnd"/>
            <w:r>
              <w:rPr>
                <w:rFonts w:ascii="Arial" w:hAnsi="Arial" w:cs="Arial"/>
              </w:rPr>
              <w:t xml:space="preserve"> </w:t>
            </w:r>
            <w:proofErr w:type="spellStart"/>
            <w:r>
              <w:rPr>
                <w:rFonts w:ascii="Arial" w:hAnsi="Arial" w:cs="Arial"/>
              </w:rPr>
              <w:t>dina</w:t>
            </w:r>
            <w:proofErr w:type="spellEnd"/>
          </w:p>
        </w:tc>
        <w:tc>
          <w:tcPr>
            <w:tcW w:w="2126" w:type="dxa"/>
            <w:shd w:val="clear" w:color="auto" w:fill="auto"/>
          </w:tcPr>
          <w:p w:rsidR="00500C9D" w:rsidRDefault="00500C9D" w:rsidP="00BA7DBA">
            <w:pPr>
              <w:bidi w:val="0"/>
              <w:spacing w:line="360" w:lineRule="auto"/>
              <w:rPr>
                <w:rFonts w:ascii="Arial" w:hAnsi="Arial" w:cs="Arial"/>
              </w:rPr>
            </w:pPr>
            <w:r>
              <w:rPr>
                <w:rFonts w:ascii="Arial" w:hAnsi="Arial" w:cs="Arial"/>
              </w:rPr>
              <w:t>10.</w:t>
            </w:r>
          </w:p>
        </w:tc>
      </w:tr>
      <w:tr w:rsidR="00500C9D" w:rsidRPr="004578DA" w:rsidTr="00BA7DBA">
        <w:tc>
          <w:tcPr>
            <w:tcW w:w="3544" w:type="dxa"/>
            <w:shd w:val="clear" w:color="auto" w:fill="auto"/>
          </w:tcPr>
          <w:p w:rsidR="00500C9D" w:rsidRPr="00CF0FB5" w:rsidRDefault="00500C9D" w:rsidP="00BA7DBA">
            <w:pPr>
              <w:bidi w:val="0"/>
              <w:spacing w:before="120"/>
              <w:ind w:left="505" w:hanging="505"/>
            </w:pPr>
            <w:proofErr w:type="spellStart"/>
            <w:r w:rsidRPr="00810B13">
              <w:t>Kleinman</w:t>
            </w:r>
            <w:proofErr w:type="spellEnd"/>
            <w:r w:rsidRPr="00810B13">
              <w:t xml:space="preserve">, Ron S. “Civil Law as Custom: Jewish Law and Secular Law – Do they Diverge or Converge?,” </w:t>
            </w:r>
            <w:r>
              <w:t xml:space="preserve">: </w:t>
            </w:r>
            <w:r w:rsidRPr="00810B13">
              <w:t xml:space="preserve">Stern, </w:t>
            </w:r>
            <w:proofErr w:type="spellStart"/>
            <w:r w:rsidRPr="00810B13">
              <w:t>Yedidia</w:t>
            </w:r>
            <w:proofErr w:type="spellEnd"/>
            <w:r w:rsidRPr="00810B13">
              <w:t xml:space="preserve"> Z., </w:t>
            </w:r>
            <w:r w:rsidRPr="00810B13">
              <w:rPr>
                <w:i/>
                <w:iCs/>
              </w:rPr>
              <w:t xml:space="preserve">Religion and State: The Role of </w:t>
            </w:r>
            <w:proofErr w:type="spellStart"/>
            <w:r w:rsidRPr="00810B13">
              <w:rPr>
                <w:i/>
                <w:iCs/>
              </w:rPr>
              <w:t>Halakhah</w:t>
            </w:r>
            <w:proofErr w:type="spellEnd"/>
            <w:r w:rsidRPr="00810B13">
              <w:t>,</w:t>
            </w:r>
          </w:p>
        </w:tc>
        <w:tc>
          <w:tcPr>
            <w:tcW w:w="1843" w:type="dxa"/>
            <w:shd w:val="clear" w:color="auto" w:fill="auto"/>
          </w:tcPr>
          <w:p w:rsidR="00500C9D" w:rsidRDefault="00500C9D" w:rsidP="00BA7DBA">
            <w:pPr>
              <w:bidi w:val="0"/>
              <w:rPr>
                <w:rFonts w:ascii="Arial" w:hAnsi="Arial" w:cs="Arial"/>
              </w:rPr>
            </w:pPr>
            <w:r>
              <w:rPr>
                <w:rFonts w:ascii="Arial" w:hAnsi="Arial" w:cs="Arial"/>
              </w:rPr>
              <w:t xml:space="preserve">Custom as law: </w:t>
            </w:r>
          </w:p>
          <w:p w:rsidR="00500C9D" w:rsidRPr="004578DA" w:rsidRDefault="00500C9D" w:rsidP="00BA7DBA">
            <w:pPr>
              <w:bidi w:val="0"/>
              <w:rPr>
                <w:rFonts w:ascii="Arial" w:hAnsi="Arial" w:cs="Arial"/>
              </w:rPr>
            </w:pPr>
            <w:r>
              <w:rPr>
                <w:rFonts w:ascii="Arial" w:hAnsi="Arial" w:cs="Arial"/>
              </w:rPr>
              <w:t xml:space="preserve">Dina </w:t>
            </w:r>
            <w:proofErr w:type="spellStart"/>
            <w:r>
              <w:rPr>
                <w:rFonts w:ascii="Arial" w:hAnsi="Arial" w:cs="Arial"/>
              </w:rPr>
              <w:t>demalkhuta</w:t>
            </w:r>
            <w:proofErr w:type="spellEnd"/>
            <w:r>
              <w:rPr>
                <w:rFonts w:ascii="Arial" w:hAnsi="Arial" w:cs="Arial"/>
              </w:rPr>
              <w:t xml:space="preserve"> </w:t>
            </w:r>
            <w:proofErr w:type="spellStart"/>
            <w:r>
              <w:rPr>
                <w:rFonts w:ascii="Arial" w:hAnsi="Arial" w:cs="Arial"/>
              </w:rPr>
              <w:t>dina</w:t>
            </w:r>
            <w:proofErr w:type="spellEnd"/>
            <w:r>
              <w:rPr>
                <w:rFonts w:ascii="Arial" w:hAnsi="Arial" w:cs="Arial"/>
              </w:rPr>
              <w:t xml:space="preserve"> and Jewish law</w:t>
            </w:r>
          </w:p>
        </w:tc>
        <w:tc>
          <w:tcPr>
            <w:tcW w:w="2126" w:type="dxa"/>
            <w:shd w:val="clear" w:color="auto" w:fill="auto"/>
          </w:tcPr>
          <w:p w:rsidR="00500C9D" w:rsidRPr="004578DA" w:rsidRDefault="00500C9D" w:rsidP="00BA7DBA">
            <w:pPr>
              <w:bidi w:val="0"/>
              <w:spacing w:line="360" w:lineRule="auto"/>
              <w:rPr>
                <w:rFonts w:ascii="Arial" w:hAnsi="Arial" w:cs="Arial"/>
                <w:rtl/>
              </w:rPr>
            </w:pPr>
            <w:r>
              <w:rPr>
                <w:rFonts w:ascii="Arial" w:hAnsi="Arial" w:cs="Arial"/>
              </w:rPr>
              <w:t>11.</w:t>
            </w:r>
          </w:p>
        </w:tc>
      </w:tr>
      <w:tr w:rsidR="00500C9D" w:rsidRPr="004578DA" w:rsidTr="00BA7DBA">
        <w:tc>
          <w:tcPr>
            <w:tcW w:w="3544" w:type="dxa"/>
            <w:shd w:val="clear" w:color="auto" w:fill="auto"/>
          </w:tcPr>
          <w:p w:rsidR="00500C9D" w:rsidRPr="004578DA" w:rsidRDefault="00500C9D" w:rsidP="00BA7DBA">
            <w:pPr>
              <w:bidi w:val="0"/>
              <w:spacing w:line="360" w:lineRule="auto"/>
              <w:rPr>
                <w:rFonts w:ascii="Arial" w:hAnsi="Arial" w:cs="Arial"/>
              </w:rPr>
            </w:pPr>
          </w:p>
        </w:tc>
        <w:tc>
          <w:tcPr>
            <w:tcW w:w="1843" w:type="dxa"/>
            <w:shd w:val="clear" w:color="auto" w:fill="auto"/>
          </w:tcPr>
          <w:p w:rsidR="00500C9D" w:rsidRPr="004578DA" w:rsidRDefault="00500C9D" w:rsidP="00BA7DBA">
            <w:pPr>
              <w:bidi w:val="0"/>
              <w:spacing w:line="360" w:lineRule="auto"/>
              <w:rPr>
                <w:rFonts w:ascii="Arial" w:hAnsi="Arial" w:cs="Arial"/>
              </w:rPr>
            </w:pPr>
            <w:r>
              <w:rPr>
                <w:rFonts w:ascii="Arial" w:hAnsi="Arial" w:cs="Arial"/>
              </w:rPr>
              <w:t>Cheating on tests</w:t>
            </w:r>
          </w:p>
        </w:tc>
        <w:tc>
          <w:tcPr>
            <w:tcW w:w="2126" w:type="dxa"/>
            <w:shd w:val="clear" w:color="auto" w:fill="auto"/>
          </w:tcPr>
          <w:p w:rsidR="00500C9D" w:rsidRPr="004578DA" w:rsidRDefault="00500C9D" w:rsidP="00BA7DBA">
            <w:pPr>
              <w:bidi w:val="0"/>
              <w:spacing w:line="360" w:lineRule="auto"/>
              <w:rPr>
                <w:rFonts w:ascii="Arial" w:hAnsi="Arial" w:cs="Arial"/>
                <w:rtl/>
              </w:rPr>
            </w:pPr>
            <w:r>
              <w:rPr>
                <w:rFonts w:ascii="Arial" w:hAnsi="Arial" w:cs="Arial"/>
              </w:rPr>
              <w:t>12.</w:t>
            </w:r>
          </w:p>
        </w:tc>
      </w:tr>
    </w:tbl>
    <w:p w:rsidR="00500C9D" w:rsidRDefault="00500C9D" w:rsidP="00500C9D">
      <w:r>
        <w:br w:type="page"/>
      </w:r>
    </w:p>
    <w:tbl>
      <w:tblPr>
        <w:bidiVisual/>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800"/>
        <w:gridCol w:w="1080"/>
      </w:tblGrid>
      <w:tr w:rsidR="00500C9D" w:rsidRPr="004578DA" w:rsidTr="00BA7DBA">
        <w:tc>
          <w:tcPr>
            <w:tcW w:w="3150" w:type="dxa"/>
            <w:shd w:val="clear" w:color="auto" w:fill="auto"/>
          </w:tcPr>
          <w:p w:rsidR="00500C9D" w:rsidRPr="00810B13" w:rsidRDefault="00500C9D" w:rsidP="00BA7DBA">
            <w:pPr>
              <w:bidi w:val="0"/>
              <w:spacing w:before="120"/>
              <w:ind w:left="505" w:hanging="505"/>
            </w:pPr>
            <w:proofErr w:type="spellStart"/>
            <w:r w:rsidRPr="00810B13">
              <w:lastRenderedPageBreak/>
              <w:t>Shapira</w:t>
            </w:r>
            <w:proofErr w:type="spellEnd"/>
            <w:r w:rsidRPr="00810B13">
              <w:t xml:space="preserve">, Haim, "The Debate Over Compromise," </w:t>
            </w:r>
          </w:p>
          <w:p w:rsidR="00500C9D" w:rsidRPr="004578DA" w:rsidRDefault="00500C9D" w:rsidP="00BA7DBA">
            <w:pPr>
              <w:bidi w:val="0"/>
              <w:spacing w:line="360" w:lineRule="auto"/>
              <w:rPr>
                <w:rFonts w:ascii="Arial" w:hAnsi="Arial" w:cs="Arial"/>
              </w:rPr>
            </w:pPr>
          </w:p>
        </w:tc>
        <w:tc>
          <w:tcPr>
            <w:tcW w:w="1800" w:type="dxa"/>
            <w:shd w:val="clear" w:color="auto" w:fill="auto"/>
          </w:tcPr>
          <w:p w:rsidR="00500C9D" w:rsidRPr="004578DA" w:rsidRDefault="00500C9D" w:rsidP="00BA7DBA">
            <w:pPr>
              <w:bidi w:val="0"/>
              <w:rPr>
                <w:rFonts w:ascii="Arial" w:hAnsi="Arial" w:cs="Arial"/>
              </w:rPr>
            </w:pPr>
            <w:r>
              <w:rPr>
                <w:rFonts w:ascii="Arial" w:hAnsi="Arial" w:cs="Arial"/>
              </w:rPr>
              <w:t xml:space="preserve">Compromise as a solution to business disputes </w:t>
            </w:r>
          </w:p>
        </w:tc>
        <w:tc>
          <w:tcPr>
            <w:tcW w:w="1080" w:type="dxa"/>
            <w:shd w:val="clear" w:color="auto" w:fill="auto"/>
          </w:tcPr>
          <w:p w:rsidR="00500C9D" w:rsidRPr="004578DA" w:rsidRDefault="00500C9D" w:rsidP="00BA7DBA">
            <w:pPr>
              <w:bidi w:val="0"/>
              <w:spacing w:line="360" w:lineRule="auto"/>
              <w:rPr>
                <w:rFonts w:ascii="Arial" w:hAnsi="Arial" w:cs="Arial"/>
                <w:rtl/>
              </w:rPr>
            </w:pPr>
            <w:r>
              <w:rPr>
                <w:rFonts w:ascii="Arial" w:hAnsi="Arial" w:cs="Arial"/>
              </w:rPr>
              <w:t>13.</w:t>
            </w:r>
          </w:p>
        </w:tc>
      </w:tr>
      <w:tr w:rsidR="00500C9D" w:rsidRPr="004578DA" w:rsidTr="00BA7DBA">
        <w:tc>
          <w:tcPr>
            <w:tcW w:w="3150" w:type="dxa"/>
            <w:shd w:val="clear" w:color="auto" w:fill="auto"/>
          </w:tcPr>
          <w:p w:rsidR="00500C9D" w:rsidRPr="00CF0FB5" w:rsidRDefault="00500C9D" w:rsidP="00BA7DBA">
            <w:pPr>
              <w:bidi w:val="0"/>
              <w:spacing w:before="120"/>
              <w:ind w:left="505" w:hanging="505"/>
            </w:pPr>
            <w:r w:rsidRPr="00810B13">
              <w:t xml:space="preserve">Katz, Jacob, </w:t>
            </w:r>
            <w:r w:rsidRPr="00810B13">
              <w:rPr>
                <w:i/>
                <w:iCs/>
              </w:rPr>
              <w:t>Divine Law in Human Hands: Case Studies in Halakhic Flexibility</w:t>
            </w:r>
            <w:r w:rsidRPr="00810B13">
              <w:t xml:space="preserve">: Manning, John F., "What Divides </w:t>
            </w:r>
            <w:proofErr w:type="spellStart"/>
            <w:r w:rsidRPr="00810B13">
              <w:t>Textualists</w:t>
            </w:r>
            <w:proofErr w:type="spellEnd"/>
            <w:r w:rsidRPr="00810B13">
              <w:t xml:space="preserve"> from </w:t>
            </w:r>
            <w:proofErr w:type="spellStart"/>
            <w:r w:rsidRPr="00810B13">
              <w:t>Purposivists</w:t>
            </w:r>
            <w:proofErr w:type="spellEnd"/>
            <w:proofErr w:type="gramStart"/>
            <w:r w:rsidRPr="00810B13">
              <w:t>?,</w:t>
            </w:r>
            <w:proofErr w:type="gramEnd"/>
            <w:r w:rsidRPr="00810B13">
              <w:t>" pp. 70-111.</w:t>
            </w:r>
            <w:r>
              <w:t xml:space="preserve">: </w:t>
            </w:r>
            <w:r w:rsidRPr="00810B13">
              <w:t xml:space="preserve">Barak, </w:t>
            </w:r>
            <w:proofErr w:type="spellStart"/>
            <w:r w:rsidRPr="00810B13">
              <w:t>Aharon</w:t>
            </w:r>
            <w:proofErr w:type="spellEnd"/>
            <w:r w:rsidRPr="00810B13">
              <w:t xml:space="preserve">, </w:t>
            </w:r>
            <w:r w:rsidRPr="00810B13">
              <w:rPr>
                <w:i/>
                <w:iCs/>
              </w:rPr>
              <w:t>Purposive Interpretation in Law</w:t>
            </w:r>
            <w:r>
              <w:t>.</w:t>
            </w:r>
            <w:r w:rsidRPr="00810B13">
              <w:t xml:space="preserve"> </w:t>
            </w:r>
          </w:p>
        </w:tc>
        <w:tc>
          <w:tcPr>
            <w:tcW w:w="1800" w:type="dxa"/>
            <w:shd w:val="clear" w:color="auto" w:fill="auto"/>
          </w:tcPr>
          <w:p w:rsidR="00500C9D" w:rsidRPr="004578DA" w:rsidRDefault="00500C9D" w:rsidP="00BA7DBA">
            <w:pPr>
              <w:bidi w:val="0"/>
              <w:rPr>
                <w:rFonts w:ascii="Arial" w:hAnsi="Arial" w:cs="Arial"/>
              </w:rPr>
            </w:pPr>
            <w:r>
              <w:rPr>
                <w:rFonts w:ascii="Arial" w:hAnsi="Arial" w:cs="Arial"/>
              </w:rPr>
              <w:t xml:space="preserve">Purpose based law or formal </w:t>
            </w:r>
            <w:proofErr w:type="spellStart"/>
            <w:r>
              <w:rPr>
                <w:rFonts w:ascii="Arial" w:hAnsi="Arial" w:cs="Arial"/>
              </w:rPr>
              <w:t>law?Finding</w:t>
            </w:r>
            <w:proofErr w:type="spellEnd"/>
            <w:r>
              <w:rPr>
                <w:rFonts w:ascii="Arial" w:hAnsi="Arial" w:cs="Arial"/>
              </w:rPr>
              <w:t xml:space="preserve"> the ethical answer for problems when black-letter law fails</w:t>
            </w:r>
          </w:p>
        </w:tc>
        <w:tc>
          <w:tcPr>
            <w:tcW w:w="1080" w:type="dxa"/>
            <w:shd w:val="clear" w:color="auto" w:fill="auto"/>
          </w:tcPr>
          <w:p w:rsidR="00500C9D" w:rsidRPr="004578DA" w:rsidRDefault="00500C9D" w:rsidP="00BA7DBA">
            <w:pPr>
              <w:bidi w:val="0"/>
              <w:spacing w:line="360" w:lineRule="auto"/>
              <w:rPr>
                <w:rFonts w:ascii="Arial" w:hAnsi="Arial" w:cs="Arial"/>
                <w:rtl/>
              </w:rPr>
            </w:pPr>
            <w:r>
              <w:rPr>
                <w:rFonts w:ascii="Arial" w:hAnsi="Arial" w:cs="Arial"/>
              </w:rPr>
              <w:t>14.</w:t>
            </w:r>
          </w:p>
        </w:tc>
      </w:tr>
    </w:tbl>
    <w:p w:rsidR="00500C9D" w:rsidRDefault="00500C9D" w:rsidP="00500C9D">
      <w:pPr>
        <w:bidi w:val="0"/>
        <w:ind w:left="26"/>
        <w:rPr>
          <w:rFonts w:ascii="Arial" w:hAnsi="Arial" w:cs="Arial"/>
        </w:rPr>
      </w:pPr>
    </w:p>
    <w:p w:rsidR="00500C9D" w:rsidRDefault="00500C9D" w:rsidP="00500C9D">
      <w:pPr>
        <w:bidi w:val="0"/>
        <w:rPr>
          <w:rFonts w:ascii="Arial" w:hAnsi="Arial" w:cs="Arial"/>
          <w:rtl/>
        </w:rPr>
      </w:pPr>
    </w:p>
    <w:p w:rsidR="00500C9D" w:rsidRPr="002157B8" w:rsidRDefault="00500C9D" w:rsidP="00500C9D">
      <w:pPr>
        <w:bidi w:val="0"/>
        <w:ind w:left="26"/>
        <w:rPr>
          <w:rFonts w:ascii="Arial" w:hAnsi="Arial" w:cs="Arial"/>
          <w:b/>
          <w:bCs/>
          <w:sz w:val="26"/>
          <w:rtl/>
        </w:rPr>
      </w:pPr>
      <w:r w:rsidRPr="002157B8">
        <w:rPr>
          <w:rFonts w:ascii="Arial" w:hAnsi="Arial" w:cs="Arial"/>
          <w:b/>
          <w:bCs/>
          <w:sz w:val="26"/>
        </w:rPr>
        <w:t>Course requirements</w:t>
      </w:r>
    </w:p>
    <w:p w:rsidR="00500C9D" w:rsidRDefault="00500C9D" w:rsidP="00500C9D">
      <w:pPr>
        <w:bidi w:val="0"/>
        <w:ind w:left="26"/>
        <w:rPr>
          <w:rFonts w:ascii="Arial" w:hAnsi="Arial" w:cs="Arial"/>
          <w:b/>
          <w:bCs/>
          <w:rtl/>
        </w:rPr>
      </w:pPr>
    </w:p>
    <w:p w:rsidR="00500C9D" w:rsidRDefault="00500C9D" w:rsidP="00500C9D">
      <w:pPr>
        <w:bidi w:val="0"/>
        <w:ind w:firstLine="26"/>
        <w:rPr>
          <w:rFonts w:ascii="Arial" w:hAnsi="Arial" w:cs="Arial"/>
          <w:b/>
          <w:bCs/>
        </w:rPr>
      </w:pPr>
      <w:r>
        <w:rPr>
          <w:rFonts w:ascii="Arial" w:hAnsi="Arial" w:cs="Arial"/>
          <w:b/>
          <w:bCs/>
        </w:rPr>
        <w:t xml:space="preserve">Pre-requisites </w:t>
      </w:r>
    </w:p>
    <w:p w:rsidR="00500C9D" w:rsidRDefault="00500C9D" w:rsidP="00500C9D">
      <w:pPr>
        <w:bidi w:val="0"/>
        <w:ind w:firstLine="26"/>
        <w:rPr>
          <w:rFonts w:ascii="Arial" w:hAnsi="Arial" w:cs="Arial"/>
          <w:b/>
          <w:bCs/>
          <w:rtl/>
        </w:rPr>
      </w:pPr>
      <w:r>
        <w:rPr>
          <w:rFonts w:ascii="Arial" w:hAnsi="Arial" w:cs="Arial"/>
          <w:b/>
          <w:bCs/>
        </w:rPr>
        <w:t>Requirements/ Assignment/Tasks</w:t>
      </w:r>
    </w:p>
    <w:p w:rsidR="00500C9D" w:rsidRPr="00E75758" w:rsidRDefault="00500C9D" w:rsidP="00500C9D">
      <w:pPr>
        <w:bidi w:val="0"/>
        <w:ind w:left="26"/>
        <w:rPr>
          <w:rFonts w:ascii="Arial" w:hAnsi="Arial" w:cs="Arial"/>
          <w:rtl/>
        </w:rPr>
      </w:pPr>
      <w:r>
        <w:rPr>
          <w:rFonts w:ascii="Arial" w:hAnsi="Arial" w:cs="Arial"/>
        </w:rPr>
        <w:t>Reading and quizzes</w:t>
      </w:r>
    </w:p>
    <w:p w:rsidR="00500C9D" w:rsidRPr="00965AAE" w:rsidRDefault="00500C9D" w:rsidP="00500C9D">
      <w:pPr>
        <w:bidi w:val="0"/>
        <w:spacing w:line="360" w:lineRule="auto"/>
        <w:ind w:left="26"/>
        <w:rPr>
          <w:rFonts w:ascii="Arial" w:hAnsi="Arial" w:cs="Arial"/>
          <w:b/>
          <w:bCs/>
        </w:rPr>
      </w:pPr>
      <w:r w:rsidRPr="00965AAE">
        <w:rPr>
          <w:rFonts w:ascii="Arial" w:hAnsi="Arial" w:cs="Arial"/>
          <w:b/>
          <w:bCs/>
        </w:rPr>
        <w:t>Grade Components (Number grade or pass/fail)</w:t>
      </w:r>
    </w:p>
    <w:p w:rsidR="00500C9D" w:rsidRDefault="00500C9D" w:rsidP="00500C9D">
      <w:pPr>
        <w:bidi w:val="0"/>
        <w:spacing w:line="360" w:lineRule="auto"/>
        <w:ind w:left="26"/>
        <w:rPr>
          <w:rFonts w:ascii="Arial" w:hAnsi="Arial" w:cs="Arial"/>
          <w:b/>
          <w:bCs/>
          <w:sz w:val="26"/>
          <w:szCs w:val="26"/>
          <w:rtl/>
        </w:rPr>
      </w:pPr>
      <w:r>
        <w:rPr>
          <w:rFonts w:ascii="Arial" w:hAnsi="Arial" w:cs="Arial"/>
          <w:b/>
          <w:bCs/>
          <w:sz w:val="26"/>
          <w:szCs w:val="26"/>
        </w:rPr>
        <w:t xml:space="preserve">80% final, 10% attendance, 10% quizzes. </w:t>
      </w:r>
    </w:p>
    <w:p w:rsidR="00500C9D" w:rsidRPr="00965AAE" w:rsidRDefault="00500C9D" w:rsidP="00500C9D">
      <w:pPr>
        <w:pStyle w:val="4"/>
        <w:jc w:val="left"/>
        <w:rPr>
          <w:rFonts w:ascii="Arial" w:hAnsi="Arial" w:cs="Arial"/>
          <w:szCs w:val="24"/>
          <w:lang w:eastAsia="en-US"/>
        </w:rPr>
      </w:pPr>
      <w:r w:rsidRPr="00965AAE">
        <w:rPr>
          <w:rFonts w:ascii="Arial" w:hAnsi="Arial" w:cs="Arial"/>
          <w:sz w:val="26"/>
        </w:rPr>
        <w:t>Bibliography</w:t>
      </w:r>
      <w:r w:rsidRPr="00965AAE">
        <w:rPr>
          <w:rFonts w:ascii="Arial" w:hAnsi="Arial" w:cs="Arial"/>
          <w:szCs w:val="24"/>
          <w:lang w:eastAsia="en-US"/>
        </w:rPr>
        <w:t xml:space="preserve">: (Required/ Elective) </w:t>
      </w:r>
    </w:p>
    <w:p w:rsidR="00500C9D" w:rsidRDefault="00500C9D" w:rsidP="00500C9D">
      <w:pPr>
        <w:spacing w:before="120"/>
        <w:ind w:left="505" w:hanging="505"/>
        <w:jc w:val="right"/>
      </w:pPr>
      <w:proofErr w:type="spellStart"/>
      <w:r w:rsidRPr="00810B13">
        <w:t>Bleich</w:t>
      </w:r>
      <w:proofErr w:type="spellEnd"/>
      <w:r w:rsidRPr="00810B13">
        <w:t xml:space="preserve">, J. David, "Survey of Recent Halakhic Periodical Literature: The </w:t>
      </w:r>
      <w:proofErr w:type="spellStart"/>
      <w:r w:rsidRPr="00810B13">
        <w:t>Heter</w:t>
      </w:r>
      <w:proofErr w:type="spellEnd"/>
      <w:r w:rsidRPr="00810B13">
        <w:t xml:space="preserve"> </w:t>
      </w:r>
      <w:proofErr w:type="spellStart"/>
      <w:r w:rsidRPr="00810B13">
        <w:t>Iska</w:t>
      </w:r>
      <w:proofErr w:type="spellEnd"/>
      <w:r w:rsidRPr="00810B13">
        <w:t xml:space="preserve"> and American Courts," </w:t>
      </w:r>
      <w:r w:rsidRPr="00810B13">
        <w:rPr>
          <w:i/>
          <w:iCs/>
        </w:rPr>
        <w:t>Tradition</w:t>
      </w:r>
      <w:r w:rsidRPr="00810B13">
        <w:t xml:space="preserve">, </w:t>
      </w:r>
      <w:proofErr w:type="spellStart"/>
      <w:r w:rsidRPr="00810B13">
        <w:t>vol</w:t>
      </w:r>
      <w:proofErr w:type="spellEnd"/>
      <w:r w:rsidRPr="00810B13">
        <w:t xml:space="preserve"> 42, 4, 2009, pp.  49- 79. </w:t>
      </w:r>
    </w:p>
    <w:p w:rsidR="00500C9D" w:rsidRPr="00810B13" w:rsidRDefault="00500C9D" w:rsidP="00500C9D">
      <w:pPr>
        <w:spacing w:before="120"/>
        <w:jc w:val="right"/>
      </w:pPr>
      <w:r w:rsidRPr="00810B13">
        <w:t xml:space="preserve">Brown, Benjamin, "From Principles to Rules and from </w:t>
      </w:r>
      <w:proofErr w:type="spellStart"/>
      <w:r w:rsidRPr="00810B13">
        <w:t>Musar</w:t>
      </w:r>
      <w:proofErr w:type="spellEnd"/>
      <w:r w:rsidRPr="00810B13">
        <w:t xml:space="preserve"> to </w:t>
      </w:r>
      <w:proofErr w:type="spellStart"/>
      <w:r w:rsidRPr="00810B13">
        <w:t>Halakhah</w:t>
      </w:r>
      <w:proofErr w:type="spellEnd"/>
      <w:r w:rsidRPr="00810B13">
        <w:t xml:space="preserve">: The </w:t>
      </w:r>
      <w:proofErr w:type="spellStart"/>
      <w:r w:rsidRPr="00810B13">
        <w:t>Hafetz</w:t>
      </w:r>
      <w:proofErr w:type="spellEnd"/>
      <w:r w:rsidRPr="00810B13">
        <w:t xml:space="preserve"> </w:t>
      </w:r>
      <w:proofErr w:type="spellStart"/>
      <w:r w:rsidRPr="00810B13">
        <w:t>Hayim's</w:t>
      </w:r>
      <w:proofErr w:type="spellEnd"/>
      <w:r w:rsidRPr="00810B13">
        <w:t xml:space="preserve"> Rulings on Libel and Gossip," </w:t>
      </w:r>
      <w:r w:rsidRPr="00810B13">
        <w:rPr>
          <w:i/>
          <w:iCs/>
        </w:rPr>
        <w:t xml:space="preserve">Dine Israel, </w:t>
      </w:r>
      <w:proofErr w:type="spellStart"/>
      <w:r w:rsidRPr="00810B13">
        <w:t>vol</w:t>
      </w:r>
      <w:proofErr w:type="spellEnd"/>
      <w:r w:rsidRPr="00810B13">
        <w:rPr>
          <w:i/>
          <w:iCs/>
        </w:rPr>
        <w:t xml:space="preserve"> 25</w:t>
      </w:r>
      <w:r w:rsidRPr="00810B13">
        <w:t>, 2008, pp. 171-256.</w:t>
      </w:r>
    </w:p>
    <w:p w:rsidR="00500C9D" w:rsidRPr="00810B13" w:rsidRDefault="00500C9D" w:rsidP="00500C9D">
      <w:pPr>
        <w:spacing w:before="120"/>
        <w:ind w:left="505" w:hanging="505"/>
        <w:jc w:val="right"/>
      </w:pPr>
      <w:proofErr w:type="spellStart"/>
      <w:r w:rsidRPr="00810B13">
        <w:t>Broyde</w:t>
      </w:r>
      <w:proofErr w:type="spellEnd"/>
      <w:r w:rsidRPr="00810B13">
        <w:t xml:space="preserve">, Michael and Michael Hecht, "The Return of Lost Property According to Jewish &amp; Common Law: A Comparison," </w:t>
      </w:r>
      <w:hyperlink r:id="rId8" w:history="1">
        <w:r w:rsidRPr="00810B13">
          <w:rPr>
            <w:u w:val="single"/>
          </w:rPr>
          <w:t>http://www.jlaw.com/Articles/avedah</w:t>
        </w:r>
      </w:hyperlink>
    </w:p>
    <w:p w:rsidR="00500C9D" w:rsidRPr="00810B13" w:rsidRDefault="00500C9D" w:rsidP="00500C9D">
      <w:pPr>
        <w:spacing w:before="120"/>
        <w:ind w:left="505" w:hanging="505"/>
        <w:jc w:val="right"/>
      </w:pPr>
      <w:proofErr w:type="spellStart"/>
      <w:r w:rsidRPr="00810B13">
        <w:t>Englard</w:t>
      </w:r>
      <w:proofErr w:type="spellEnd"/>
      <w:r w:rsidRPr="00810B13">
        <w:t xml:space="preserve">, </w:t>
      </w:r>
      <w:proofErr w:type="spellStart"/>
      <w:r>
        <w:t>It</w:t>
      </w:r>
      <w:r w:rsidRPr="00810B13">
        <w:t>zhak</w:t>
      </w:r>
      <w:proofErr w:type="spellEnd"/>
      <w:r w:rsidRPr="00810B13">
        <w:t xml:space="preserve">, "The Relationship between Religion and State in Israel," </w:t>
      </w:r>
      <w:r w:rsidRPr="00810B13">
        <w:rPr>
          <w:i/>
          <w:iCs/>
        </w:rPr>
        <w:t>Jewish Law in Ancient and Modern Israel</w:t>
      </w:r>
      <w:r w:rsidRPr="00810B13">
        <w:t xml:space="preserve">, ed., Haim Cohen, Jersey City: </w:t>
      </w:r>
      <w:proofErr w:type="spellStart"/>
      <w:r w:rsidRPr="00810B13">
        <w:t>Ktav</w:t>
      </w:r>
      <w:proofErr w:type="spellEnd"/>
      <w:r w:rsidRPr="00810B13">
        <w:t xml:space="preserve"> Publishing House, 1971, pp. 168-189.</w:t>
      </w:r>
    </w:p>
    <w:p w:rsidR="00500C9D" w:rsidRPr="00810B13" w:rsidRDefault="00500C9D" w:rsidP="00500C9D">
      <w:pPr>
        <w:spacing w:before="120"/>
        <w:ind w:left="505" w:hanging="505"/>
        <w:jc w:val="right"/>
      </w:pPr>
      <w:proofErr w:type="spellStart"/>
      <w:r w:rsidRPr="00810B13">
        <w:t>Faur</w:t>
      </w:r>
      <w:proofErr w:type="spellEnd"/>
      <w:r w:rsidRPr="00810B13">
        <w:t xml:space="preserve">, Jose, "The Fundamental Principles of Jewish Jurisprudence," </w:t>
      </w:r>
      <w:r w:rsidRPr="00810B13">
        <w:rPr>
          <w:i/>
          <w:iCs/>
        </w:rPr>
        <w:t>New York University: International Law and Politics</w:t>
      </w:r>
      <w:r w:rsidRPr="00810B13">
        <w:t xml:space="preserve">, </w:t>
      </w:r>
      <w:proofErr w:type="spellStart"/>
      <w:r w:rsidRPr="00810B13">
        <w:t>vol</w:t>
      </w:r>
      <w:proofErr w:type="spellEnd"/>
      <w:r w:rsidRPr="00810B13">
        <w:t xml:space="preserve"> 12, 1979, pp. 225-238.</w:t>
      </w:r>
    </w:p>
    <w:p w:rsidR="00500C9D" w:rsidRPr="00810B13" w:rsidRDefault="00500C9D" w:rsidP="00500C9D">
      <w:pPr>
        <w:spacing w:before="120"/>
        <w:ind w:left="505" w:hanging="505"/>
        <w:jc w:val="right"/>
      </w:pPr>
      <w:r w:rsidRPr="00810B13">
        <w:t>Fishman, D.E. "</w:t>
      </w:r>
      <w:proofErr w:type="spellStart"/>
      <w:r w:rsidRPr="00810B13">
        <w:t>Musar</w:t>
      </w:r>
      <w:proofErr w:type="spellEnd"/>
      <w:r>
        <w:t xml:space="preserve"> &amp; Modernity: the Case of </w:t>
      </w:r>
      <w:proofErr w:type="spellStart"/>
      <w:r>
        <w:t>Novar</w:t>
      </w:r>
      <w:r w:rsidRPr="00810B13">
        <w:t>dok</w:t>
      </w:r>
      <w:proofErr w:type="spellEnd"/>
      <w:r w:rsidRPr="00810B13">
        <w:t xml:space="preserve">," </w:t>
      </w:r>
      <w:r w:rsidRPr="00810B13">
        <w:rPr>
          <w:i/>
          <w:iCs/>
        </w:rPr>
        <w:t>Modern Judaism</w:t>
      </w:r>
      <w:r w:rsidRPr="00810B13">
        <w:t xml:space="preserve">, </w:t>
      </w:r>
      <w:proofErr w:type="spellStart"/>
      <w:r w:rsidRPr="00810B13">
        <w:t>vol</w:t>
      </w:r>
      <w:proofErr w:type="spellEnd"/>
      <w:r w:rsidRPr="00810B13">
        <w:t xml:space="preserve"> 8. 1988. pp. 41-64.</w:t>
      </w:r>
    </w:p>
    <w:p w:rsidR="00500C9D" w:rsidRPr="00810B13" w:rsidRDefault="00500C9D" w:rsidP="00500C9D">
      <w:pPr>
        <w:spacing w:before="120"/>
        <w:ind w:left="505" w:hanging="505"/>
        <w:jc w:val="right"/>
      </w:pPr>
      <w:r w:rsidRPr="00810B13">
        <w:t xml:space="preserve">Fuller, Lon L., ‘Reason and Fiat in Case Law,” </w:t>
      </w:r>
      <w:r w:rsidRPr="00810B13">
        <w:rPr>
          <w:i/>
          <w:iCs/>
        </w:rPr>
        <w:t>Benjamin Cardozo Memorial Lectures</w:t>
      </w:r>
      <w:r w:rsidRPr="00810B13">
        <w:t>, New York: the Association of the BAR of the city of New York, Matthew Bender Publishers, 1942, pp. 31-58.</w:t>
      </w:r>
    </w:p>
    <w:p w:rsidR="00500C9D" w:rsidRPr="00810B13" w:rsidRDefault="00500C9D" w:rsidP="00500C9D">
      <w:pPr>
        <w:spacing w:before="120"/>
        <w:ind w:left="505" w:hanging="505"/>
        <w:jc w:val="right"/>
      </w:pPr>
      <w:r w:rsidRPr="00810B13">
        <w:t xml:space="preserve">Green, Leslie "Legal Positivism," </w:t>
      </w:r>
      <w:r w:rsidRPr="00810B13">
        <w:rPr>
          <w:i/>
          <w:iCs/>
        </w:rPr>
        <w:t>Stanford Encyclopedia of Philosophy</w:t>
      </w:r>
      <w:r w:rsidRPr="00810B13">
        <w:t xml:space="preserve">, 2003. </w:t>
      </w:r>
      <w:hyperlink r:id="rId9" w:history="1">
        <w:r w:rsidRPr="00810B13">
          <w:rPr>
            <w:u w:val="single"/>
          </w:rPr>
          <w:t>http://plato.stanford.edu/entries/legal-positivism/</w:t>
        </w:r>
      </w:hyperlink>
    </w:p>
    <w:p w:rsidR="00500C9D" w:rsidRPr="00810B13" w:rsidRDefault="00500C9D" w:rsidP="00500C9D">
      <w:pPr>
        <w:spacing w:before="120"/>
        <w:ind w:left="505" w:hanging="505"/>
        <w:jc w:val="right"/>
      </w:pPr>
      <w:r w:rsidRPr="00810B13">
        <w:t xml:space="preserve">Homes, Oliver Wendell, "The Theory of Legal Interpretation," 12 </w:t>
      </w:r>
      <w:r w:rsidRPr="00810B13">
        <w:rPr>
          <w:i/>
          <w:iCs/>
        </w:rPr>
        <w:t>Harvard Law Review</w:t>
      </w:r>
      <w:r w:rsidRPr="00810B13">
        <w:t xml:space="preserve">, 6, 1989, pp. 417-420. </w:t>
      </w:r>
      <w:hyperlink r:id="rId10" w:history="1">
        <w:r w:rsidRPr="00810B13">
          <w:rPr>
            <w:u w:val="single"/>
          </w:rPr>
          <w:t>http://www.jstor.org/stable/1321531?seq=2</w:t>
        </w:r>
      </w:hyperlink>
    </w:p>
    <w:p w:rsidR="00500C9D" w:rsidRPr="00810B13" w:rsidRDefault="00500C9D" w:rsidP="00500C9D">
      <w:pPr>
        <w:spacing w:before="120"/>
        <w:ind w:left="505" w:hanging="505"/>
        <w:jc w:val="right"/>
      </w:pPr>
      <w:r w:rsidRPr="00810B13">
        <w:lastRenderedPageBreak/>
        <w:t xml:space="preserve">Katz, Jacob, </w:t>
      </w:r>
      <w:r w:rsidRPr="00810B13">
        <w:rPr>
          <w:i/>
          <w:iCs/>
        </w:rPr>
        <w:t>Divine Law in Human Hands: Case Studies in Halakhic Flexibility</w:t>
      </w:r>
      <w:r w:rsidRPr="00810B13">
        <w:t xml:space="preserve">, Jerusalem: The </w:t>
      </w:r>
      <w:proofErr w:type="spellStart"/>
      <w:r w:rsidRPr="00810B13">
        <w:t>Magnes</w:t>
      </w:r>
      <w:proofErr w:type="spellEnd"/>
      <w:r w:rsidRPr="00810B13">
        <w:t xml:space="preserve"> Press, 1998.</w:t>
      </w:r>
    </w:p>
    <w:p w:rsidR="00500C9D" w:rsidRPr="00810B13" w:rsidRDefault="00500C9D" w:rsidP="00500C9D">
      <w:pPr>
        <w:spacing w:before="120"/>
        <w:ind w:left="505" w:hanging="505"/>
        <w:jc w:val="right"/>
      </w:pPr>
      <w:r w:rsidRPr="00810B13">
        <w:t xml:space="preserve">Kennedy, Duncan. "Legal Formalism," </w:t>
      </w:r>
      <w:r w:rsidRPr="00810B13">
        <w:rPr>
          <w:i/>
          <w:iCs/>
        </w:rPr>
        <w:t>Encyclopedia of the Social &amp; Behavioral Sciences</w:t>
      </w:r>
      <w:r w:rsidRPr="00810B13">
        <w:t xml:space="preserve">, </w:t>
      </w:r>
      <w:proofErr w:type="spellStart"/>
      <w:r w:rsidRPr="00810B13">
        <w:t>vol</w:t>
      </w:r>
      <w:proofErr w:type="spellEnd"/>
      <w:r w:rsidRPr="00810B13">
        <w:t xml:space="preserve"> XIII, eds., Neil J. </w:t>
      </w:r>
      <w:proofErr w:type="spellStart"/>
      <w:r w:rsidRPr="00810B13">
        <w:t>Smelser</w:t>
      </w:r>
      <w:proofErr w:type="spellEnd"/>
      <w:r w:rsidRPr="00810B13">
        <w:t xml:space="preserve">, &amp; Paul B. </w:t>
      </w:r>
      <w:proofErr w:type="spellStart"/>
      <w:r w:rsidRPr="00810B13">
        <w:t>Blates</w:t>
      </w:r>
      <w:proofErr w:type="spellEnd"/>
      <w:r w:rsidRPr="00810B13">
        <w:t xml:space="preserve">, Amsterdam, New York, Paris, Oxford, Singapore, Tokyo: </w:t>
      </w:r>
      <w:proofErr w:type="spellStart"/>
      <w:r w:rsidRPr="00810B13">
        <w:t>Elsvier</w:t>
      </w:r>
      <w:proofErr w:type="spellEnd"/>
      <w:r w:rsidRPr="00810B13">
        <w:t>, 2001, pp. 8634-8638.</w:t>
      </w:r>
    </w:p>
    <w:p w:rsidR="00500C9D" w:rsidRPr="00810B13" w:rsidRDefault="00500C9D" w:rsidP="00500C9D">
      <w:pPr>
        <w:spacing w:before="120"/>
        <w:ind w:left="505" w:hanging="505"/>
        <w:jc w:val="right"/>
      </w:pPr>
      <w:proofErr w:type="spellStart"/>
      <w:r w:rsidRPr="00810B13">
        <w:t>Kopel</w:t>
      </w:r>
      <w:proofErr w:type="spellEnd"/>
      <w:r w:rsidRPr="00810B13">
        <w:t xml:space="preserve">, Moshe, </w:t>
      </w:r>
      <w:r w:rsidRPr="00810B13">
        <w:rPr>
          <w:i/>
          <w:iCs/>
        </w:rPr>
        <w:t>Meta-</w:t>
      </w:r>
      <w:proofErr w:type="spellStart"/>
      <w:r w:rsidRPr="00810B13">
        <w:rPr>
          <w:i/>
          <w:iCs/>
        </w:rPr>
        <w:t>Halakhah</w:t>
      </w:r>
      <w:proofErr w:type="spellEnd"/>
      <w:r w:rsidRPr="00810B13">
        <w:rPr>
          <w:i/>
          <w:iCs/>
        </w:rPr>
        <w:t>: Logic, Intuition and the Unfolding of Jewish Law</w:t>
      </w:r>
      <w:r w:rsidRPr="00810B13">
        <w:t>, Northvale &amp; London: Jason Aronson Inc., 1997.</w:t>
      </w:r>
    </w:p>
    <w:p w:rsidR="00500C9D" w:rsidRPr="00810B13" w:rsidRDefault="00500C9D" w:rsidP="00500C9D">
      <w:pPr>
        <w:spacing w:before="120"/>
        <w:ind w:left="505" w:hanging="505"/>
        <w:jc w:val="right"/>
        <w:rPr>
          <w:rtl/>
        </w:rPr>
      </w:pPr>
      <w:r w:rsidRPr="00810B13">
        <w:t xml:space="preserve">Lichtenstein, Aaron, “The Human and Social Factor in Halakha," </w:t>
      </w:r>
      <w:r w:rsidRPr="00810B13">
        <w:rPr>
          <w:i/>
          <w:iCs/>
        </w:rPr>
        <w:t>Tradition</w:t>
      </w:r>
      <w:r w:rsidRPr="00810B13">
        <w:t>, pp. 1- 25.</w:t>
      </w:r>
      <w:r w:rsidRPr="00810B13">
        <w:rPr>
          <w:rtl/>
        </w:rPr>
        <w:t xml:space="preserve"> </w:t>
      </w:r>
    </w:p>
    <w:p w:rsidR="00500C9D" w:rsidRPr="00810B13" w:rsidRDefault="00500C9D" w:rsidP="00500C9D">
      <w:pPr>
        <w:spacing w:before="120"/>
        <w:ind w:left="505" w:hanging="505"/>
        <w:jc w:val="right"/>
      </w:pPr>
      <w:r w:rsidRPr="00810B13">
        <w:t xml:space="preserve">Manning, John F., "What Divides </w:t>
      </w:r>
      <w:proofErr w:type="spellStart"/>
      <w:r w:rsidRPr="00810B13">
        <w:t>Textualists</w:t>
      </w:r>
      <w:proofErr w:type="spellEnd"/>
      <w:r w:rsidRPr="00810B13">
        <w:t xml:space="preserve"> from </w:t>
      </w:r>
      <w:proofErr w:type="spellStart"/>
      <w:r w:rsidRPr="00810B13">
        <w:t>Purposivists</w:t>
      </w:r>
      <w:proofErr w:type="spellEnd"/>
      <w:proofErr w:type="gramStart"/>
      <w:r w:rsidRPr="00810B13">
        <w:t>?,</w:t>
      </w:r>
      <w:proofErr w:type="gramEnd"/>
      <w:r w:rsidRPr="00810B13">
        <w:t xml:space="preserve">" </w:t>
      </w:r>
      <w:r w:rsidRPr="00810B13">
        <w:rPr>
          <w:i/>
          <w:iCs/>
        </w:rPr>
        <w:t>Columbia Law Review</w:t>
      </w:r>
      <w:r w:rsidRPr="00810B13">
        <w:t>, vol. 106, January, 2006, pp. 70-111.</w:t>
      </w:r>
    </w:p>
    <w:p w:rsidR="00500C9D" w:rsidRPr="00810B13" w:rsidRDefault="00500C9D" w:rsidP="00500C9D">
      <w:pPr>
        <w:spacing w:before="120"/>
        <w:ind w:left="505" w:hanging="505"/>
        <w:jc w:val="right"/>
      </w:pPr>
      <w:r w:rsidRPr="00810B13">
        <w:t>Nelson, Caleb, "What is Textualism</w:t>
      </w:r>
      <w:proofErr w:type="gramStart"/>
      <w:r w:rsidRPr="00810B13">
        <w:t>?,</w:t>
      </w:r>
      <w:proofErr w:type="gramEnd"/>
      <w:r w:rsidRPr="00810B13">
        <w:t xml:space="preserve">" </w:t>
      </w:r>
      <w:r w:rsidRPr="00810B13">
        <w:rPr>
          <w:i/>
          <w:iCs/>
        </w:rPr>
        <w:t>Virginia Law Review</w:t>
      </w:r>
      <w:r w:rsidRPr="00810B13">
        <w:t xml:space="preserve">, </w:t>
      </w:r>
      <w:proofErr w:type="spellStart"/>
      <w:r w:rsidRPr="00810B13">
        <w:t>vol</w:t>
      </w:r>
      <w:proofErr w:type="spellEnd"/>
      <w:r w:rsidRPr="00810B13">
        <w:t xml:space="preserve"> 91, 18, 3, 2005. pp. 347-418.</w:t>
      </w:r>
    </w:p>
    <w:p w:rsidR="00500C9D" w:rsidRPr="00810B13" w:rsidRDefault="00500C9D" w:rsidP="00500C9D">
      <w:pPr>
        <w:spacing w:before="120"/>
        <w:ind w:left="505" w:hanging="505"/>
        <w:jc w:val="right"/>
      </w:pPr>
      <w:r w:rsidRPr="00810B13">
        <w:t xml:space="preserve">Novak, David, </w:t>
      </w:r>
      <w:r w:rsidRPr="00810B13">
        <w:rPr>
          <w:i/>
          <w:iCs/>
        </w:rPr>
        <w:t>Natural Law in Judaism</w:t>
      </w:r>
      <w:r w:rsidRPr="00810B13">
        <w:t xml:space="preserve">, Cambridge: Cambridge University Press, 1998. </w:t>
      </w:r>
    </w:p>
    <w:p w:rsidR="00500C9D" w:rsidRPr="00810B13" w:rsidRDefault="00500C9D" w:rsidP="00500C9D">
      <w:pPr>
        <w:spacing w:before="120"/>
        <w:ind w:left="505" w:hanging="505"/>
        <w:jc w:val="right"/>
      </w:pPr>
      <w:r w:rsidRPr="00810B13">
        <w:t xml:space="preserve">Rousseau, Jean Jacques, "Social Contract," II, 12, ed., Charles M. Andrews, </w:t>
      </w:r>
      <w:r w:rsidRPr="00810B13">
        <w:rPr>
          <w:i/>
          <w:iCs/>
        </w:rPr>
        <w:t>Famous Utopias</w:t>
      </w:r>
      <w:r w:rsidRPr="00810B13">
        <w:t>, New York: Tudor Publishing, 1901.</w:t>
      </w:r>
    </w:p>
    <w:p w:rsidR="00500C9D" w:rsidRPr="00810B13" w:rsidRDefault="00500C9D" w:rsidP="00500C9D">
      <w:pPr>
        <w:spacing w:before="120"/>
        <w:ind w:left="505" w:hanging="505"/>
        <w:jc w:val="right"/>
      </w:pPr>
      <w:r w:rsidRPr="00810B13">
        <w:t xml:space="preserve">Sacks, Jonathan, "Creativity and Innovation in </w:t>
      </w:r>
      <w:proofErr w:type="spellStart"/>
      <w:r w:rsidRPr="00810B13">
        <w:t>Halakhah</w:t>
      </w:r>
      <w:proofErr w:type="spellEnd"/>
      <w:r w:rsidRPr="00810B13">
        <w:t xml:space="preserve">," </w:t>
      </w:r>
      <w:r w:rsidRPr="00810B13">
        <w:rPr>
          <w:i/>
          <w:iCs/>
        </w:rPr>
        <w:t>Rabbinic Authority and Personal Autonomy</w:t>
      </w:r>
      <w:r w:rsidRPr="00810B13">
        <w:t xml:space="preserve">, ed., Moshe Z. </w:t>
      </w:r>
      <w:proofErr w:type="spellStart"/>
      <w:r w:rsidRPr="00810B13">
        <w:t>Sokol</w:t>
      </w:r>
      <w:proofErr w:type="spellEnd"/>
      <w:r w:rsidRPr="00810B13">
        <w:t>, Northvale, New Jersey &amp; London: Aronson, 1992.</w:t>
      </w:r>
    </w:p>
    <w:p w:rsidR="00500C9D" w:rsidRPr="00810B13" w:rsidRDefault="00500C9D" w:rsidP="00500C9D">
      <w:pPr>
        <w:spacing w:before="120"/>
        <w:ind w:left="505" w:hanging="505"/>
        <w:jc w:val="right"/>
      </w:pPr>
      <w:proofErr w:type="spellStart"/>
      <w:r w:rsidRPr="00810B13">
        <w:t>Shapira</w:t>
      </w:r>
      <w:proofErr w:type="spellEnd"/>
      <w:r w:rsidRPr="00810B13">
        <w:t xml:space="preserve">, Haim, "The Debate Over Compromise," </w:t>
      </w:r>
      <w:proofErr w:type="spellStart"/>
      <w:r w:rsidRPr="00810B13">
        <w:rPr>
          <w:i/>
          <w:iCs/>
        </w:rPr>
        <w:t>Dinei</w:t>
      </w:r>
      <w:proofErr w:type="spellEnd"/>
      <w:r w:rsidRPr="00810B13">
        <w:rPr>
          <w:i/>
          <w:iCs/>
        </w:rPr>
        <w:t xml:space="preserve"> </w:t>
      </w:r>
      <w:proofErr w:type="spellStart"/>
      <w:r w:rsidRPr="00810B13">
        <w:rPr>
          <w:i/>
          <w:iCs/>
        </w:rPr>
        <w:t>Yisroel</w:t>
      </w:r>
      <w:proofErr w:type="spellEnd"/>
      <w:r w:rsidRPr="00810B13">
        <w:t>, 2010, pp. 183-228.</w:t>
      </w:r>
    </w:p>
    <w:p w:rsidR="00500C9D" w:rsidRPr="00810B13" w:rsidRDefault="00500C9D" w:rsidP="00500C9D">
      <w:pPr>
        <w:spacing w:before="120"/>
        <w:ind w:left="505" w:hanging="505"/>
        <w:jc w:val="right"/>
      </w:pPr>
      <w:r w:rsidRPr="00810B13">
        <w:t xml:space="preserve">Stern, </w:t>
      </w:r>
      <w:proofErr w:type="spellStart"/>
      <w:r w:rsidRPr="00810B13">
        <w:t>Yedidia</w:t>
      </w:r>
      <w:proofErr w:type="spellEnd"/>
      <w:r w:rsidRPr="00810B13">
        <w:t xml:space="preserve"> Z., </w:t>
      </w:r>
      <w:r w:rsidRPr="00810B13">
        <w:rPr>
          <w:i/>
          <w:iCs/>
        </w:rPr>
        <w:t xml:space="preserve">Religion and State: The Role of </w:t>
      </w:r>
      <w:proofErr w:type="spellStart"/>
      <w:r w:rsidRPr="00810B13">
        <w:rPr>
          <w:i/>
          <w:iCs/>
        </w:rPr>
        <w:t>Halakhah</w:t>
      </w:r>
      <w:proofErr w:type="spellEnd"/>
      <w:r w:rsidRPr="00810B13">
        <w:t>, Jerusalem: The Israel Democracy Institute, Dec. 2004.</w:t>
      </w:r>
    </w:p>
    <w:p w:rsidR="00500C9D" w:rsidRDefault="00500C9D" w:rsidP="00500C9D">
      <w:pPr>
        <w:bidi w:val="0"/>
        <w:jc w:val="both"/>
      </w:pPr>
    </w:p>
    <w:p w:rsidR="00500C9D" w:rsidRDefault="00500C9D" w:rsidP="00500C9D">
      <w:pPr>
        <w:bidi w:val="0"/>
      </w:pPr>
    </w:p>
    <w:p w:rsidR="00500C9D" w:rsidRPr="00965AAE" w:rsidRDefault="00500C9D" w:rsidP="00500C9D">
      <w:pPr>
        <w:bidi w:val="0"/>
        <w:ind w:left="26"/>
        <w:rPr>
          <w:rFonts w:ascii="Arial" w:hAnsi="Arial" w:cs="Arial"/>
          <w:b/>
          <w:bCs/>
        </w:rPr>
      </w:pPr>
      <w:r w:rsidRPr="00965AAE">
        <w:rPr>
          <w:rFonts w:ascii="Arial" w:hAnsi="Arial" w:cs="Arial"/>
          <w:b/>
          <w:bCs/>
          <w:sz w:val="28"/>
        </w:rPr>
        <w:t>Required</w:t>
      </w:r>
      <w:r w:rsidRPr="00965AAE">
        <w:rPr>
          <w:rFonts w:ascii="Arial" w:hAnsi="Arial" w:cs="Arial"/>
          <w:b/>
          <w:bCs/>
        </w:rPr>
        <w:t xml:space="preserve"> material for the final</w:t>
      </w:r>
    </w:p>
    <w:p w:rsidR="00500C9D" w:rsidRDefault="00500C9D" w:rsidP="00500C9D">
      <w:pPr>
        <w:bidi w:val="0"/>
      </w:pPr>
      <w:r>
        <w:t xml:space="preserve">Final is based on lectures and required reading. </w:t>
      </w:r>
    </w:p>
    <w:p w:rsidR="00500C9D" w:rsidRPr="00FF1A3A" w:rsidRDefault="00500C9D" w:rsidP="00500C9D"/>
    <w:p w:rsidR="00500C9D" w:rsidRDefault="00500C9D" w:rsidP="00500C9D"/>
    <w:p w:rsidR="00D173BC" w:rsidRDefault="00500C9D"/>
    <w:sectPr w:rsidR="00D173BC" w:rsidSect="00292B26">
      <w:headerReference w:type="default" r:id="rId11"/>
      <w:footerReference w:type="default" r:id="rId12"/>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altName w:val="MiriamD"/>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26" w:rsidRDefault="00500C9D" w:rsidP="00292B26">
    <w:pPr>
      <w:pStyle w:val="a5"/>
      <w:jc w:val="right"/>
    </w:pPr>
    <w:r>
      <w:rPr>
        <w:rStyle w:val="a7"/>
      </w:rPr>
      <w:fldChar w:fldCharType="begin"/>
    </w:r>
    <w:r>
      <w:rPr>
        <w:rStyle w:val="a7"/>
      </w:rPr>
      <w:instrText xml:space="preserve"> PAGE </w:instrText>
    </w:r>
    <w:r>
      <w:rPr>
        <w:rStyle w:val="a7"/>
      </w:rPr>
      <w:fldChar w:fldCharType="separate"/>
    </w:r>
    <w:r>
      <w:rPr>
        <w:rStyle w:val="a7"/>
        <w:noProof/>
        <w:rtl/>
      </w:rPr>
      <w:t>1</w:t>
    </w:r>
    <w:r>
      <w:rPr>
        <w:rStyle w:val="a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26" w:rsidRDefault="00500C9D" w:rsidP="00292B26">
    <w:pPr>
      <w:pStyle w:val="a3"/>
      <w:jc w:val="center"/>
      <w:rPr>
        <w:color w:val="333333"/>
        <w:rtl/>
      </w:rPr>
    </w:pPr>
  </w:p>
  <w:p w:rsidR="00292B26" w:rsidRPr="006F3984" w:rsidRDefault="00500C9D" w:rsidP="00292B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C9D"/>
    <w:rsid w:val="00337320"/>
    <w:rsid w:val="00500C9D"/>
    <w:rsid w:val="005302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C9D"/>
    <w:pPr>
      <w:bidi/>
      <w:spacing w:after="0" w:line="240" w:lineRule="auto"/>
    </w:pPr>
    <w:rPr>
      <w:rFonts w:ascii="Times New Roman" w:eastAsia="Times New Roman" w:hAnsi="Times New Roman" w:cs="Times New Roman"/>
      <w:sz w:val="24"/>
      <w:szCs w:val="24"/>
    </w:rPr>
  </w:style>
  <w:style w:type="paragraph" w:styleId="4">
    <w:name w:val="heading 4"/>
    <w:basedOn w:val="a"/>
    <w:next w:val="a"/>
    <w:link w:val="40"/>
    <w:qFormat/>
    <w:rsid w:val="00500C9D"/>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500C9D"/>
    <w:rPr>
      <w:rFonts w:ascii="Garamond" w:eastAsia="Times New Roman" w:hAnsi="Garamond" w:cs="Miriam"/>
      <w:b/>
      <w:bCs/>
      <w:sz w:val="24"/>
      <w:szCs w:val="20"/>
      <w:lang w:eastAsia="he-IL"/>
    </w:rPr>
  </w:style>
  <w:style w:type="paragraph" w:styleId="a3">
    <w:name w:val="header"/>
    <w:basedOn w:val="a"/>
    <w:link w:val="a4"/>
    <w:rsid w:val="00500C9D"/>
    <w:pPr>
      <w:tabs>
        <w:tab w:val="center" w:pos="4153"/>
        <w:tab w:val="right" w:pos="8306"/>
      </w:tabs>
    </w:pPr>
  </w:style>
  <w:style w:type="character" w:customStyle="1" w:styleId="a4">
    <w:name w:val="כותרת עליונה תו"/>
    <w:basedOn w:val="a0"/>
    <w:link w:val="a3"/>
    <w:rsid w:val="00500C9D"/>
    <w:rPr>
      <w:rFonts w:ascii="Times New Roman" w:eastAsia="Times New Roman" w:hAnsi="Times New Roman" w:cs="Times New Roman"/>
      <w:sz w:val="24"/>
      <w:szCs w:val="24"/>
    </w:rPr>
  </w:style>
  <w:style w:type="paragraph" w:styleId="a5">
    <w:name w:val="footer"/>
    <w:basedOn w:val="a"/>
    <w:link w:val="a6"/>
    <w:rsid w:val="00500C9D"/>
    <w:pPr>
      <w:tabs>
        <w:tab w:val="center" w:pos="4153"/>
        <w:tab w:val="right" w:pos="8306"/>
      </w:tabs>
    </w:pPr>
  </w:style>
  <w:style w:type="character" w:customStyle="1" w:styleId="a6">
    <w:name w:val="כותרת תחתונה תו"/>
    <w:basedOn w:val="a0"/>
    <w:link w:val="a5"/>
    <w:rsid w:val="00500C9D"/>
    <w:rPr>
      <w:rFonts w:ascii="Times New Roman" w:eastAsia="Times New Roman" w:hAnsi="Times New Roman" w:cs="Times New Roman"/>
      <w:sz w:val="24"/>
      <w:szCs w:val="24"/>
    </w:rPr>
  </w:style>
  <w:style w:type="character" w:styleId="a7">
    <w:name w:val="page number"/>
    <w:rsid w:val="00500C9D"/>
    <w:rPr>
      <w:rFonts w:cs="Times New Roman"/>
    </w:rPr>
  </w:style>
  <w:style w:type="paragraph" w:styleId="a8">
    <w:name w:val="Balloon Text"/>
    <w:basedOn w:val="a"/>
    <w:link w:val="a9"/>
    <w:uiPriority w:val="99"/>
    <w:semiHidden/>
    <w:unhideWhenUsed/>
    <w:rsid w:val="00500C9D"/>
    <w:rPr>
      <w:rFonts w:ascii="Tahoma" w:hAnsi="Tahoma" w:cs="Tahoma"/>
      <w:sz w:val="16"/>
      <w:szCs w:val="16"/>
    </w:rPr>
  </w:style>
  <w:style w:type="character" w:customStyle="1" w:styleId="a9">
    <w:name w:val="טקסט בלונים תו"/>
    <w:basedOn w:val="a0"/>
    <w:link w:val="a8"/>
    <w:uiPriority w:val="99"/>
    <w:semiHidden/>
    <w:rsid w:val="00500C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C9D"/>
    <w:pPr>
      <w:bidi/>
      <w:spacing w:after="0" w:line="240" w:lineRule="auto"/>
    </w:pPr>
    <w:rPr>
      <w:rFonts w:ascii="Times New Roman" w:eastAsia="Times New Roman" w:hAnsi="Times New Roman" w:cs="Times New Roman"/>
      <w:sz w:val="24"/>
      <w:szCs w:val="24"/>
    </w:rPr>
  </w:style>
  <w:style w:type="paragraph" w:styleId="4">
    <w:name w:val="heading 4"/>
    <w:basedOn w:val="a"/>
    <w:next w:val="a"/>
    <w:link w:val="40"/>
    <w:qFormat/>
    <w:rsid w:val="00500C9D"/>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500C9D"/>
    <w:rPr>
      <w:rFonts w:ascii="Garamond" w:eastAsia="Times New Roman" w:hAnsi="Garamond" w:cs="Miriam"/>
      <w:b/>
      <w:bCs/>
      <w:sz w:val="24"/>
      <w:szCs w:val="20"/>
      <w:lang w:eastAsia="he-IL"/>
    </w:rPr>
  </w:style>
  <w:style w:type="paragraph" w:styleId="a3">
    <w:name w:val="header"/>
    <w:basedOn w:val="a"/>
    <w:link w:val="a4"/>
    <w:rsid w:val="00500C9D"/>
    <w:pPr>
      <w:tabs>
        <w:tab w:val="center" w:pos="4153"/>
        <w:tab w:val="right" w:pos="8306"/>
      </w:tabs>
    </w:pPr>
  </w:style>
  <w:style w:type="character" w:customStyle="1" w:styleId="a4">
    <w:name w:val="כותרת עליונה תו"/>
    <w:basedOn w:val="a0"/>
    <w:link w:val="a3"/>
    <w:rsid w:val="00500C9D"/>
    <w:rPr>
      <w:rFonts w:ascii="Times New Roman" w:eastAsia="Times New Roman" w:hAnsi="Times New Roman" w:cs="Times New Roman"/>
      <w:sz w:val="24"/>
      <w:szCs w:val="24"/>
    </w:rPr>
  </w:style>
  <w:style w:type="paragraph" w:styleId="a5">
    <w:name w:val="footer"/>
    <w:basedOn w:val="a"/>
    <w:link w:val="a6"/>
    <w:rsid w:val="00500C9D"/>
    <w:pPr>
      <w:tabs>
        <w:tab w:val="center" w:pos="4153"/>
        <w:tab w:val="right" w:pos="8306"/>
      </w:tabs>
    </w:pPr>
  </w:style>
  <w:style w:type="character" w:customStyle="1" w:styleId="a6">
    <w:name w:val="כותרת תחתונה תו"/>
    <w:basedOn w:val="a0"/>
    <w:link w:val="a5"/>
    <w:rsid w:val="00500C9D"/>
    <w:rPr>
      <w:rFonts w:ascii="Times New Roman" w:eastAsia="Times New Roman" w:hAnsi="Times New Roman" w:cs="Times New Roman"/>
      <w:sz w:val="24"/>
      <w:szCs w:val="24"/>
    </w:rPr>
  </w:style>
  <w:style w:type="character" w:styleId="a7">
    <w:name w:val="page number"/>
    <w:rsid w:val="00500C9D"/>
    <w:rPr>
      <w:rFonts w:cs="Times New Roman"/>
    </w:rPr>
  </w:style>
  <w:style w:type="paragraph" w:styleId="a8">
    <w:name w:val="Balloon Text"/>
    <w:basedOn w:val="a"/>
    <w:link w:val="a9"/>
    <w:uiPriority w:val="99"/>
    <w:semiHidden/>
    <w:unhideWhenUsed/>
    <w:rsid w:val="00500C9D"/>
    <w:rPr>
      <w:rFonts w:ascii="Tahoma" w:hAnsi="Tahoma" w:cs="Tahoma"/>
      <w:sz w:val="16"/>
      <w:szCs w:val="16"/>
    </w:rPr>
  </w:style>
  <w:style w:type="character" w:customStyle="1" w:styleId="a9">
    <w:name w:val="טקסט בלונים תו"/>
    <w:basedOn w:val="a0"/>
    <w:link w:val="a8"/>
    <w:uiPriority w:val="99"/>
    <w:semiHidden/>
    <w:rsid w:val="00500C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law.com/Articles/aveda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law.com/Articles/avedah"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lato.stanford.edu/entries/legal-positivism/" TargetMode="External"/><Relationship Id="rId11"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hyperlink" Target="http://www.jstor.org/stable/1321531?seq=2" TargetMode="External"/><Relationship Id="rId4" Type="http://schemas.openxmlformats.org/officeDocument/2006/relationships/webSettings" Target="webSettings.xml"/><Relationship Id="rId9" Type="http://schemas.openxmlformats.org/officeDocument/2006/relationships/hyperlink" Target="http://plato.stanford.edu/entries/legal-positivism/"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1034</Words>
  <Characters>5171</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2020-08-30T08:27:00Z</dcterms:created>
  <dcterms:modified xsi:type="dcterms:W3CDTF">2020-08-30T08:28:00Z</dcterms:modified>
</cp:coreProperties>
</file>