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E6" w:rsidRDefault="001D31E6" w:rsidP="001D31E6">
      <w:pPr>
        <w:bidi w:val="0"/>
        <w:spacing w:line="360" w:lineRule="auto"/>
        <w:jc w:val="center"/>
        <w:rPr>
          <w:rFonts w:ascii="Arial" w:hAnsi="Arial" w:cs="Tahoma"/>
        </w:rPr>
      </w:pPr>
      <w:r>
        <w:rPr>
          <w:rFonts w:ascii="Arial" w:hAnsi="Arial" w:cs="Tahoma"/>
          <w:bCs/>
          <w:sz w:val="36"/>
          <w:szCs w:val="36"/>
          <w:rtl/>
        </w:rPr>
        <w:t xml:space="preserve">     </w:t>
      </w:r>
      <w:r>
        <w:rPr>
          <w:rFonts w:ascii="Arial" w:hAnsi="Arial" w:cs="Tahoma"/>
          <w:bCs/>
          <w:noProof/>
          <w:sz w:val="36"/>
          <w:szCs w:val="36"/>
        </w:rPr>
        <w:t xml:space="preserve">                                </w:t>
      </w:r>
      <w:r>
        <w:rPr>
          <w:rFonts w:ascii="Arial" w:hAnsi="Arial" w:cs="Tahoma"/>
          <w:bCs/>
          <w:noProof/>
          <w:sz w:val="36"/>
          <w:szCs w:val="36"/>
        </w:rPr>
        <w:drawing>
          <wp:inline distT="0" distB="0" distL="0" distR="0" wp14:anchorId="6AD21F5B" wp14:editId="1A09C7EB">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sz w:val="36"/>
          <w:szCs w:val="36"/>
        </w:rPr>
        <w:t>Course Name and Number</w:t>
      </w:r>
      <w:r w:rsidRPr="002E026B">
        <w:rPr>
          <w:rFonts w:ascii="Arial" w:hAnsi="Arial" w:cs="Tahoma"/>
          <w:bCs/>
          <w:sz w:val="36"/>
          <w:szCs w:val="36"/>
          <w:rtl/>
        </w:rPr>
        <w:t>:</w:t>
      </w:r>
    </w:p>
    <w:p w:rsidR="001D31E6" w:rsidRPr="002E026B" w:rsidRDefault="001D31E6" w:rsidP="001D31E6">
      <w:pPr>
        <w:bidi w:val="0"/>
        <w:spacing w:line="360" w:lineRule="auto"/>
        <w:jc w:val="center"/>
        <w:rPr>
          <w:rFonts w:ascii="Arial" w:hAnsi="Arial" w:cs="Tahoma"/>
        </w:rPr>
      </w:pPr>
      <w:bookmarkStart w:id="0" w:name="_GoBack"/>
      <w:r w:rsidRPr="004C3353">
        <w:rPr>
          <w:rFonts w:ascii="Arial" w:hAnsi="Arial" w:cs="Arial"/>
          <w:b/>
          <w:bCs/>
          <w:color w:val="000000"/>
          <w:sz w:val="32"/>
          <w:szCs w:val="32"/>
        </w:rPr>
        <w:t>Business law in the Jewish legal system</w:t>
      </w:r>
      <w:r w:rsidRPr="004C3353">
        <w:rPr>
          <w:rFonts w:ascii="Arial" w:hAnsi="Arial" w:cs="Arial"/>
          <w:b/>
          <w:bCs/>
          <w:color w:val="000000"/>
          <w:sz w:val="32"/>
          <w:szCs w:val="32"/>
        </w:rPr>
        <w:br/>
      </w:r>
      <w:bookmarkEnd w:id="0"/>
      <w:r>
        <w:rPr>
          <w:rFonts w:ascii="Arial" w:hAnsi="Arial" w:cs="Tahoma"/>
        </w:rPr>
        <w:t>02-561-80</w:t>
      </w:r>
    </w:p>
    <w:p w:rsidR="001D31E6" w:rsidRPr="002E026B" w:rsidRDefault="001D31E6" w:rsidP="001D31E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b/>
          <w:bCs/>
        </w:rPr>
        <w:t xml:space="preserve"> Lecture</w:t>
      </w:r>
    </w:p>
    <w:p w:rsidR="001D31E6" w:rsidRDefault="001D31E6" w:rsidP="001D31E6">
      <w:pPr>
        <w:bidi w:val="0"/>
        <w:spacing w:line="360" w:lineRule="auto"/>
        <w:rPr>
          <w:rFonts w:ascii="Arial" w:hAnsi="Arial" w:cs="Arial"/>
          <w:rtl/>
        </w:rPr>
      </w:pPr>
      <w:r>
        <w:rPr>
          <w:rFonts w:ascii="Arial" w:hAnsi="Arial" w:cs="Arial"/>
          <w:b/>
          <w:bCs/>
        </w:rPr>
        <w:t xml:space="preserve">Year of Studies:  </w:t>
      </w:r>
      <w:r w:rsidRPr="002B2945">
        <w:rPr>
          <w:rFonts w:ascii="Arial" w:hAnsi="Arial" w:cs="Arial"/>
        </w:rPr>
        <w:t>20</w:t>
      </w:r>
      <w:r>
        <w:rPr>
          <w:rFonts w:ascii="Arial" w:hAnsi="Arial" w:cs="Arial" w:hint="cs"/>
          <w:rtl/>
        </w:rPr>
        <w:t>20</w:t>
      </w:r>
      <w:r>
        <w:rPr>
          <w:rFonts w:ascii="Arial" w:hAnsi="Arial" w:cs="Arial" w:hint="cs"/>
          <w:rtl/>
        </w:rPr>
        <w:t>-202</w:t>
      </w:r>
      <w:r>
        <w:rPr>
          <w:rFonts w:ascii="Arial" w:hAnsi="Arial" w:cs="Arial" w:hint="cs"/>
          <w:rtl/>
        </w:rPr>
        <w:t>1</w:t>
      </w:r>
      <w:r>
        <w:rPr>
          <w:rFonts w:ascii="Arial" w:hAnsi="Arial" w:cs="Arial"/>
          <w:b/>
          <w:bCs/>
        </w:rPr>
        <w:t xml:space="preserve">       Semester: </w:t>
      </w:r>
      <w:r w:rsidRPr="002B2945">
        <w:rPr>
          <w:rFonts w:ascii="Arial" w:hAnsi="Arial" w:cs="Arial"/>
        </w:rPr>
        <w:t xml:space="preserve">Fall </w:t>
      </w:r>
      <w:r>
        <w:rPr>
          <w:rFonts w:ascii="Arial" w:hAnsi="Arial" w:cs="Arial"/>
          <w:b/>
          <w:bCs/>
        </w:rPr>
        <w:t xml:space="preserve">         Hours/credits:  </w:t>
      </w:r>
      <w:r w:rsidRPr="002B2945">
        <w:rPr>
          <w:rFonts w:ascii="Arial" w:hAnsi="Arial" w:cs="Arial"/>
        </w:rPr>
        <w:t>2</w:t>
      </w:r>
    </w:p>
    <w:p w:rsidR="001D31E6" w:rsidRPr="00F61981" w:rsidRDefault="001D31E6" w:rsidP="001D31E6">
      <w:pPr>
        <w:bidi w:val="0"/>
        <w:ind w:left="26"/>
        <w:rPr>
          <w:rFonts w:ascii="Arial" w:hAnsi="Arial" w:cs="Arial"/>
          <w:sz w:val="26"/>
          <w:szCs w:val="26"/>
          <w:rtl/>
        </w:rPr>
      </w:pPr>
      <w:r>
        <w:rPr>
          <w:rFonts w:ascii="Arial" w:hAnsi="Arial" w:cs="Arial"/>
          <w:b/>
          <w:bCs/>
          <w:sz w:val="26"/>
          <w:szCs w:val="26"/>
        </w:rPr>
        <w:t>The courses objectives:</w:t>
      </w:r>
    </w:p>
    <w:p w:rsidR="001D31E6" w:rsidRPr="00F61981" w:rsidRDefault="001D31E6" w:rsidP="001D31E6">
      <w:pPr>
        <w:bidi w:val="0"/>
        <w:ind w:left="26"/>
        <w:rPr>
          <w:rFonts w:ascii="Arial" w:hAnsi="Arial" w:cs="Arial"/>
          <w:sz w:val="26"/>
          <w:szCs w:val="26"/>
          <w:rtl/>
        </w:rPr>
      </w:pPr>
      <w:r>
        <w:rPr>
          <w:rFonts w:ascii="Arial" w:hAnsi="Arial" w:cs="Arial"/>
          <w:sz w:val="26"/>
          <w:szCs w:val="26"/>
        </w:rPr>
        <w:t>To u</w:t>
      </w:r>
      <w:r w:rsidRPr="00F61981">
        <w:rPr>
          <w:rFonts w:ascii="Arial" w:hAnsi="Arial" w:cs="Arial"/>
          <w:sz w:val="26"/>
          <w:szCs w:val="26"/>
        </w:rPr>
        <w:t xml:space="preserve">nderstand how Jewish business law works. </w:t>
      </w:r>
    </w:p>
    <w:p w:rsidR="001D31E6" w:rsidRDefault="001D31E6" w:rsidP="001D31E6">
      <w:pPr>
        <w:bidi w:val="0"/>
        <w:ind w:left="226" w:firstLine="26"/>
        <w:rPr>
          <w:rFonts w:ascii="Arial" w:hAnsi="Arial" w:cs="Arial"/>
          <w:b/>
          <w:bCs/>
          <w:sz w:val="26"/>
          <w:szCs w:val="26"/>
        </w:rPr>
      </w:pPr>
    </w:p>
    <w:p w:rsidR="001D31E6" w:rsidRDefault="001D31E6" w:rsidP="001D31E6">
      <w:pPr>
        <w:bidi w:val="0"/>
        <w:ind w:left="26"/>
        <w:rPr>
          <w:rFonts w:ascii="Arial" w:hAnsi="Arial" w:cs="Arial"/>
          <w:b/>
          <w:bCs/>
          <w:sz w:val="26"/>
          <w:szCs w:val="26"/>
        </w:rPr>
      </w:pPr>
      <w:r>
        <w:rPr>
          <w:rFonts w:ascii="Arial" w:hAnsi="Arial" w:cs="Arial"/>
          <w:b/>
          <w:bCs/>
          <w:sz w:val="26"/>
          <w:szCs w:val="26"/>
        </w:rPr>
        <w:t xml:space="preserve">Course Description: </w:t>
      </w:r>
    </w:p>
    <w:p w:rsidR="001D31E6" w:rsidRDefault="001D31E6" w:rsidP="001D31E6">
      <w:pPr>
        <w:bidi w:val="0"/>
        <w:rPr>
          <w:rFonts w:ascii="Arial" w:hAnsi="Arial" w:cs="Arial"/>
          <w:sz w:val="26"/>
          <w:szCs w:val="26"/>
        </w:rPr>
      </w:pPr>
      <w:r>
        <w:rPr>
          <w:rFonts w:ascii="Arial" w:hAnsi="Arial" w:cs="Arial"/>
          <w:sz w:val="26"/>
          <w:szCs w:val="26"/>
        </w:rPr>
        <w:t>The course will give a</w:t>
      </w:r>
      <w:r w:rsidRPr="00F61981">
        <w:rPr>
          <w:rFonts w:ascii="Arial" w:hAnsi="Arial" w:cs="Arial"/>
          <w:sz w:val="26"/>
          <w:szCs w:val="26"/>
        </w:rPr>
        <w:t xml:space="preserve"> comprehensive understanding of the legal reasoning involved in deciding Jewish law in general and Jewish business law in particular. The first third of the course will be an introduction to rabbinic adjudication. The students will learn about the various factors that the rabbi must consider when deciding law. The course will analyze various business law questions that appear in </w:t>
      </w:r>
      <w:proofErr w:type="spellStart"/>
      <w:r w:rsidRPr="00F61981">
        <w:rPr>
          <w:rFonts w:ascii="Arial" w:hAnsi="Arial" w:cs="Arial"/>
          <w:sz w:val="26"/>
          <w:szCs w:val="26"/>
        </w:rPr>
        <w:t>responsa</w:t>
      </w:r>
      <w:proofErr w:type="spellEnd"/>
      <w:r w:rsidRPr="00F61981">
        <w:rPr>
          <w:rFonts w:ascii="Arial" w:hAnsi="Arial" w:cs="Arial"/>
          <w:sz w:val="26"/>
          <w:szCs w:val="26"/>
        </w:rPr>
        <w:t xml:space="preserve"> literature.  </w:t>
      </w:r>
    </w:p>
    <w:p w:rsidR="001D31E6" w:rsidRDefault="001D31E6" w:rsidP="001D31E6">
      <w:pPr>
        <w:bidi w:val="0"/>
        <w:ind w:left="26"/>
        <w:rPr>
          <w:rFonts w:ascii="Arial" w:hAnsi="Arial" w:cs="Arial"/>
          <w:sz w:val="26"/>
          <w:szCs w:val="26"/>
        </w:rPr>
      </w:pPr>
    </w:p>
    <w:p w:rsidR="001D31E6" w:rsidRPr="00E75758" w:rsidRDefault="001D31E6" w:rsidP="001D31E6">
      <w:pPr>
        <w:bidi w:val="0"/>
        <w:ind w:left="26"/>
        <w:rPr>
          <w:rFonts w:ascii="Arial" w:hAnsi="Arial" w:cs="Arial"/>
          <w:rtl/>
        </w:rPr>
      </w:pPr>
    </w:p>
    <w:p w:rsidR="001D31E6" w:rsidRDefault="001D31E6" w:rsidP="001D31E6">
      <w:pPr>
        <w:bidi w:val="0"/>
        <w:spacing w:line="360" w:lineRule="auto"/>
        <w:ind w:left="26"/>
        <w:rPr>
          <w:rFonts w:ascii="Arial" w:hAnsi="Arial" w:cs="Arial"/>
          <w:b/>
          <w:bCs/>
        </w:rPr>
      </w:pPr>
      <w:r w:rsidRPr="00965AAE">
        <w:rPr>
          <w:rFonts w:ascii="Arial" w:hAnsi="Arial" w:cs="Arial"/>
          <w:b/>
          <w:bCs/>
        </w:rPr>
        <w:t>Grade Components (Number grade)</w:t>
      </w:r>
    </w:p>
    <w:p w:rsidR="001D31E6" w:rsidRPr="000F666F" w:rsidRDefault="001D31E6" w:rsidP="001D31E6">
      <w:pPr>
        <w:bidi w:val="0"/>
        <w:spacing w:line="360" w:lineRule="auto"/>
        <w:ind w:left="26"/>
        <w:rPr>
          <w:rFonts w:ascii="Arial" w:hAnsi="Arial" w:cs="Arial"/>
        </w:rPr>
      </w:pPr>
      <w:r w:rsidRPr="000F666F">
        <w:rPr>
          <w:rFonts w:ascii="Arial" w:hAnsi="Arial" w:cs="Arial"/>
        </w:rPr>
        <w:t xml:space="preserve">Material for final will be based on the lectures. </w:t>
      </w:r>
    </w:p>
    <w:p w:rsidR="001D31E6" w:rsidRPr="00F61981" w:rsidRDefault="001D31E6" w:rsidP="001D31E6">
      <w:pPr>
        <w:bidi w:val="0"/>
        <w:spacing w:line="360" w:lineRule="auto"/>
        <w:ind w:left="26"/>
        <w:rPr>
          <w:rFonts w:ascii="Arial" w:hAnsi="Arial" w:cs="Arial"/>
        </w:rPr>
      </w:pPr>
      <w:r>
        <w:rPr>
          <w:rFonts w:ascii="Arial" w:hAnsi="Arial" w:cs="Arial"/>
        </w:rPr>
        <w:t xml:space="preserve">Final grade will be made up of the grade on the </w:t>
      </w:r>
      <w:r w:rsidRPr="00F61981">
        <w:rPr>
          <w:rFonts w:ascii="Arial" w:hAnsi="Arial" w:cs="Arial"/>
        </w:rPr>
        <w:t xml:space="preserve">Final </w:t>
      </w:r>
      <w:r>
        <w:rPr>
          <w:rFonts w:ascii="Arial" w:hAnsi="Arial" w:cs="Arial"/>
        </w:rPr>
        <w:t xml:space="preserve">exam and attendance. </w:t>
      </w:r>
    </w:p>
    <w:tbl>
      <w:tblPr>
        <w:bidiVisual/>
        <w:tblW w:w="11430"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6620"/>
        <w:gridCol w:w="2249"/>
        <w:gridCol w:w="931"/>
      </w:tblGrid>
      <w:tr w:rsidR="001D31E6" w:rsidRPr="005E39F4" w:rsidTr="00BA7DBA">
        <w:tc>
          <w:tcPr>
            <w:tcW w:w="1630" w:type="dxa"/>
            <w:shd w:val="clear" w:color="auto" w:fill="auto"/>
          </w:tcPr>
          <w:p w:rsidR="001D31E6" w:rsidRPr="005E39F4" w:rsidRDefault="001D31E6" w:rsidP="00BA7DBA">
            <w:pPr>
              <w:bidi w:val="0"/>
              <w:spacing w:line="360" w:lineRule="auto"/>
              <w:jc w:val="center"/>
              <w:rPr>
                <w:b/>
                <w:bCs/>
                <w:i/>
                <w:iCs/>
              </w:rPr>
            </w:pPr>
            <w:r w:rsidRPr="005E39F4">
              <w:rPr>
                <w:b/>
                <w:bCs/>
                <w:i/>
                <w:iCs/>
              </w:rPr>
              <w:t>Comment</w:t>
            </w:r>
          </w:p>
        </w:tc>
        <w:tc>
          <w:tcPr>
            <w:tcW w:w="6620" w:type="dxa"/>
            <w:shd w:val="clear" w:color="auto" w:fill="auto"/>
          </w:tcPr>
          <w:p w:rsidR="001D31E6" w:rsidRPr="005E39F4" w:rsidRDefault="001D31E6" w:rsidP="00BA7DBA">
            <w:pPr>
              <w:bidi w:val="0"/>
              <w:spacing w:line="360" w:lineRule="auto"/>
              <w:jc w:val="center"/>
              <w:rPr>
                <w:b/>
                <w:bCs/>
                <w:i/>
                <w:iCs/>
              </w:rPr>
            </w:pPr>
            <w:r w:rsidRPr="005E39F4">
              <w:rPr>
                <w:b/>
                <w:bCs/>
                <w:i/>
                <w:iCs/>
              </w:rPr>
              <w:t>Required Reading</w:t>
            </w:r>
          </w:p>
        </w:tc>
        <w:tc>
          <w:tcPr>
            <w:tcW w:w="2249" w:type="dxa"/>
            <w:shd w:val="clear" w:color="auto" w:fill="auto"/>
          </w:tcPr>
          <w:p w:rsidR="001D31E6" w:rsidRPr="005E39F4" w:rsidRDefault="001D31E6" w:rsidP="00BA7DBA">
            <w:pPr>
              <w:bidi w:val="0"/>
              <w:spacing w:line="360" w:lineRule="auto"/>
              <w:jc w:val="center"/>
              <w:rPr>
                <w:b/>
                <w:bCs/>
                <w:i/>
                <w:iCs/>
              </w:rPr>
            </w:pPr>
            <w:r w:rsidRPr="005E39F4">
              <w:rPr>
                <w:b/>
                <w:bCs/>
                <w:i/>
                <w:iCs/>
              </w:rPr>
              <w:t>Topic of the Lesson</w:t>
            </w:r>
          </w:p>
        </w:tc>
        <w:tc>
          <w:tcPr>
            <w:tcW w:w="931" w:type="dxa"/>
            <w:shd w:val="clear" w:color="auto" w:fill="auto"/>
          </w:tcPr>
          <w:p w:rsidR="001D31E6" w:rsidRPr="005E39F4" w:rsidRDefault="001D31E6" w:rsidP="00BA7DBA">
            <w:pPr>
              <w:bidi w:val="0"/>
              <w:spacing w:line="360" w:lineRule="auto"/>
              <w:jc w:val="center"/>
              <w:rPr>
                <w:b/>
                <w:bCs/>
                <w:i/>
                <w:iCs/>
              </w:rPr>
            </w:pPr>
            <w:r w:rsidRPr="005E39F4">
              <w:rPr>
                <w:b/>
                <w:bCs/>
                <w:i/>
                <w:iCs/>
              </w:rPr>
              <w:t xml:space="preserve">Lesson </w:t>
            </w:r>
          </w:p>
        </w:tc>
      </w:tr>
      <w:tr w:rsidR="001D31E6" w:rsidRPr="005E39F4" w:rsidTr="00BA7DBA">
        <w:trPr>
          <w:trHeight w:val="467"/>
        </w:trPr>
        <w:tc>
          <w:tcPr>
            <w:tcW w:w="1630" w:type="dxa"/>
            <w:shd w:val="clear" w:color="auto" w:fill="auto"/>
          </w:tcPr>
          <w:p w:rsidR="001D31E6" w:rsidRPr="005E39F4" w:rsidRDefault="001D31E6" w:rsidP="00BA7DBA">
            <w:pPr>
              <w:bidi w:val="0"/>
            </w:pPr>
            <w:r w:rsidRPr="005E39F4">
              <w:t xml:space="preserve"> Formalism vs pragmatic justice </w:t>
            </w:r>
          </w:p>
        </w:tc>
        <w:tc>
          <w:tcPr>
            <w:tcW w:w="6620" w:type="dxa"/>
            <w:shd w:val="clear" w:color="auto" w:fill="auto"/>
          </w:tcPr>
          <w:p w:rsidR="001D31E6" w:rsidRPr="005E39F4" w:rsidRDefault="001D31E6" w:rsidP="00BA7DBA">
            <w:pPr>
              <w:bidi w:val="0"/>
              <w:spacing w:before="120"/>
              <w:ind w:left="505" w:hanging="505"/>
              <w:jc w:val="both"/>
            </w:pPr>
            <w:r w:rsidRPr="005E39F4">
              <w:t xml:space="preserve"> Oliver Wendell Holmes, "The Path of the Law," 10</w:t>
            </w:r>
            <w:r w:rsidRPr="005E39F4">
              <w:rPr>
                <w:i/>
                <w:iCs/>
              </w:rPr>
              <w:t xml:space="preserve"> Harvard Law Review</w:t>
            </w:r>
            <w:r w:rsidRPr="005E39F4">
              <w:t>, 457, 1897</w:t>
            </w:r>
          </w:p>
          <w:p w:rsidR="001D31E6" w:rsidRPr="005E39F4" w:rsidRDefault="001D31E6" w:rsidP="00BA7DBA">
            <w:pPr>
              <w:bidi w:val="0"/>
            </w:pPr>
          </w:p>
        </w:tc>
        <w:tc>
          <w:tcPr>
            <w:tcW w:w="2249" w:type="dxa"/>
            <w:shd w:val="clear" w:color="auto" w:fill="auto"/>
          </w:tcPr>
          <w:p w:rsidR="001D31E6" w:rsidRPr="005E39F4" w:rsidRDefault="001D31E6" w:rsidP="00BA7DBA">
            <w:pPr>
              <w:bidi w:val="0"/>
              <w:jc w:val="center"/>
              <w:rPr>
                <w:b/>
                <w:bCs/>
              </w:rPr>
            </w:pPr>
            <w:r w:rsidRPr="005E39F4">
              <w:rPr>
                <w:b/>
                <w:bCs/>
              </w:rPr>
              <w:t>the Common law legal system</w:t>
            </w:r>
          </w:p>
        </w:tc>
        <w:tc>
          <w:tcPr>
            <w:tcW w:w="931" w:type="dxa"/>
            <w:shd w:val="clear" w:color="auto" w:fill="auto"/>
          </w:tcPr>
          <w:p w:rsidR="001D31E6" w:rsidRPr="005E39F4" w:rsidRDefault="001D31E6" w:rsidP="00BA7DBA">
            <w:pPr>
              <w:bidi w:val="0"/>
              <w:spacing w:line="360" w:lineRule="auto"/>
            </w:pPr>
            <w:r w:rsidRPr="005E39F4">
              <w:rPr>
                <w:rtl/>
              </w:rPr>
              <w:t>1</w:t>
            </w:r>
          </w:p>
        </w:tc>
      </w:tr>
      <w:tr w:rsidR="001D31E6" w:rsidRPr="005E39F4" w:rsidTr="00BA7DBA">
        <w:tc>
          <w:tcPr>
            <w:tcW w:w="1630" w:type="dxa"/>
            <w:shd w:val="clear" w:color="auto" w:fill="auto"/>
          </w:tcPr>
          <w:p w:rsidR="001D31E6" w:rsidRPr="005E39F4" w:rsidRDefault="001D31E6" w:rsidP="00BA7DBA">
            <w:pPr>
              <w:bidi w:val="0"/>
            </w:pPr>
            <w:r w:rsidRPr="005E39F4">
              <w:t>Halakhic integrity vs flexibility.</w:t>
            </w:r>
          </w:p>
        </w:tc>
        <w:tc>
          <w:tcPr>
            <w:tcW w:w="6620" w:type="dxa"/>
            <w:shd w:val="clear" w:color="auto" w:fill="auto"/>
          </w:tcPr>
          <w:p w:rsidR="001D31E6" w:rsidRPr="005E39F4" w:rsidRDefault="001D31E6" w:rsidP="00BA7DBA">
            <w:pPr>
              <w:bidi w:val="0"/>
              <w:spacing w:before="120"/>
              <w:ind w:left="505" w:hanging="505"/>
              <w:jc w:val="both"/>
            </w:pPr>
            <w:r w:rsidRPr="005E39F4">
              <w:t xml:space="preserve"> Bernard S Jackson., "Judaism as a Religious Legal System," </w:t>
            </w:r>
            <w:r w:rsidRPr="005E39F4">
              <w:rPr>
                <w:i/>
                <w:iCs/>
              </w:rPr>
              <w:t>Religion, Law and Tradition – Comparative Studies in Religious Law</w:t>
            </w:r>
            <w:r w:rsidRPr="005E39F4">
              <w:t>. pp. 34-48.</w:t>
            </w:r>
          </w:p>
          <w:p w:rsidR="001D31E6" w:rsidRPr="005E39F4" w:rsidRDefault="001D31E6" w:rsidP="00BA7DBA">
            <w:pPr>
              <w:bidi w:val="0"/>
            </w:pPr>
          </w:p>
        </w:tc>
        <w:tc>
          <w:tcPr>
            <w:tcW w:w="2249" w:type="dxa"/>
            <w:shd w:val="clear" w:color="auto" w:fill="auto"/>
          </w:tcPr>
          <w:p w:rsidR="001D31E6" w:rsidRPr="005E39F4" w:rsidRDefault="001D31E6" w:rsidP="00BA7DBA">
            <w:pPr>
              <w:bidi w:val="0"/>
              <w:jc w:val="center"/>
              <w:rPr>
                <w:b/>
                <w:bCs/>
              </w:rPr>
            </w:pPr>
            <w:r w:rsidRPr="005E39F4">
              <w:rPr>
                <w:b/>
                <w:bCs/>
              </w:rPr>
              <w:t>Jewish legal system</w:t>
            </w:r>
          </w:p>
        </w:tc>
        <w:tc>
          <w:tcPr>
            <w:tcW w:w="931" w:type="dxa"/>
            <w:shd w:val="clear" w:color="auto" w:fill="auto"/>
          </w:tcPr>
          <w:p w:rsidR="001D31E6" w:rsidRPr="005E39F4" w:rsidRDefault="001D31E6" w:rsidP="00BA7DBA">
            <w:pPr>
              <w:bidi w:val="0"/>
              <w:spacing w:line="360" w:lineRule="auto"/>
            </w:pPr>
            <w:r w:rsidRPr="005E39F4">
              <w:rPr>
                <w:rtl/>
              </w:rPr>
              <w:t>2</w:t>
            </w:r>
          </w:p>
        </w:tc>
      </w:tr>
      <w:tr w:rsidR="001D31E6" w:rsidRPr="005E39F4" w:rsidTr="00BA7DBA">
        <w:trPr>
          <w:trHeight w:val="1234"/>
        </w:trPr>
        <w:tc>
          <w:tcPr>
            <w:tcW w:w="1630" w:type="dxa"/>
            <w:shd w:val="clear" w:color="auto" w:fill="auto"/>
          </w:tcPr>
          <w:p w:rsidR="001D31E6" w:rsidRPr="005E39F4" w:rsidRDefault="001D31E6" w:rsidP="00BA7DBA">
            <w:pPr>
              <w:bidi w:val="0"/>
            </w:pPr>
          </w:p>
        </w:tc>
        <w:tc>
          <w:tcPr>
            <w:tcW w:w="6620" w:type="dxa"/>
            <w:shd w:val="clear" w:color="auto" w:fill="auto"/>
          </w:tcPr>
          <w:p w:rsidR="001D31E6" w:rsidRPr="005E39F4" w:rsidRDefault="001D31E6" w:rsidP="00BA7DBA">
            <w:pPr>
              <w:bidi w:val="0"/>
            </w:pPr>
            <w:r w:rsidRPr="005E39F4">
              <w:rPr>
                <w:rFonts w:eastAsia="Calibri"/>
              </w:rPr>
              <w:t xml:space="preserve">Mark </w:t>
            </w:r>
            <w:proofErr w:type="spellStart"/>
            <w:r w:rsidRPr="005E39F4">
              <w:rPr>
                <w:rFonts w:eastAsia="Calibri"/>
              </w:rPr>
              <w:t>Washofsky</w:t>
            </w:r>
            <w:proofErr w:type="spellEnd"/>
            <w:r w:rsidRPr="005E39F4">
              <w:rPr>
                <w:rFonts w:eastAsia="Calibri"/>
              </w:rPr>
              <w:t>, "</w:t>
            </w:r>
            <w:proofErr w:type="spellStart"/>
            <w:r w:rsidRPr="005E39F4">
              <w:rPr>
                <w:rFonts w:eastAsia="Calibri"/>
              </w:rPr>
              <w:t>Responsa</w:t>
            </w:r>
            <w:proofErr w:type="spellEnd"/>
            <w:r w:rsidRPr="005E39F4">
              <w:rPr>
                <w:rFonts w:eastAsia="Calibri"/>
              </w:rPr>
              <w:t xml:space="preserve"> and the Art of Writing – Three Examples from the </w:t>
            </w:r>
            <w:proofErr w:type="spellStart"/>
            <w:r w:rsidRPr="005E39F4">
              <w:rPr>
                <w:rFonts w:eastAsia="Calibri"/>
              </w:rPr>
              <w:t>Teshuvot</w:t>
            </w:r>
            <w:proofErr w:type="spellEnd"/>
            <w:r w:rsidRPr="005E39F4">
              <w:rPr>
                <w:rFonts w:eastAsia="Calibri"/>
              </w:rPr>
              <w:t xml:space="preserve"> of Rabbi Moshe Feinstein," </w:t>
            </w:r>
            <w:r w:rsidRPr="005E39F4">
              <w:rPr>
                <w:rFonts w:eastAsia="Calibri"/>
                <w:i/>
                <w:iCs/>
              </w:rPr>
              <w:t>An American Rabbinate: A Festschrift for Walter Jacob</w:t>
            </w:r>
            <w:r w:rsidRPr="005E39F4">
              <w:rPr>
                <w:rFonts w:eastAsia="Calibri"/>
              </w:rPr>
              <w:t xml:space="preserve">, Pittsburgh: </w:t>
            </w:r>
            <w:proofErr w:type="spellStart"/>
            <w:r w:rsidRPr="005E39F4">
              <w:rPr>
                <w:rFonts w:eastAsia="Calibri"/>
              </w:rPr>
              <w:t>Rodef</w:t>
            </w:r>
            <w:proofErr w:type="spellEnd"/>
            <w:r w:rsidRPr="005E39F4">
              <w:rPr>
                <w:rFonts w:eastAsia="Calibri"/>
              </w:rPr>
              <w:t xml:space="preserve"> Shalom Press, 2001, pp. 149-204.</w:t>
            </w:r>
          </w:p>
        </w:tc>
        <w:tc>
          <w:tcPr>
            <w:tcW w:w="2249" w:type="dxa"/>
            <w:shd w:val="clear" w:color="auto" w:fill="auto"/>
          </w:tcPr>
          <w:p w:rsidR="001D31E6" w:rsidRPr="005E39F4" w:rsidRDefault="001D31E6" w:rsidP="00BA7DBA">
            <w:pPr>
              <w:bidi w:val="0"/>
              <w:jc w:val="center"/>
              <w:rPr>
                <w:b/>
                <w:bCs/>
              </w:rPr>
            </w:pPr>
            <w:r w:rsidRPr="005E39F4">
              <w:rPr>
                <w:b/>
                <w:bCs/>
              </w:rPr>
              <w:t>Similarities and differences between the systems</w:t>
            </w:r>
          </w:p>
        </w:tc>
        <w:tc>
          <w:tcPr>
            <w:tcW w:w="931" w:type="dxa"/>
            <w:shd w:val="clear" w:color="auto" w:fill="auto"/>
          </w:tcPr>
          <w:p w:rsidR="001D31E6" w:rsidRPr="005E39F4" w:rsidRDefault="001D31E6" w:rsidP="00BA7DBA">
            <w:pPr>
              <w:bidi w:val="0"/>
              <w:spacing w:line="360" w:lineRule="auto"/>
              <w:rPr>
                <w:rtl/>
              </w:rPr>
            </w:pPr>
            <w:r w:rsidRPr="005E39F4">
              <w:rPr>
                <w:rtl/>
              </w:rPr>
              <w:t>3</w:t>
            </w:r>
          </w:p>
        </w:tc>
      </w:tr>
      <w:tr w:rsidR="001D31E6" w:rsidRPr="005E39F4" w:rsidTr="00BA7DBA">
        <w:trPr>
          <w:trHeight w:val="1124"/>
        </w:trPr>
        <w:tc>
          <w:tcPr>
            <w:tcW w:w="1630" w:type="dxa"/>
            <w:shd w:val="clear" w:color="auto" w:fill="auto"/>
          </w:tcPr>
          <w:p w:rsidR="001D31E6" w:rsidRPr="005E39F4" w:rsidRDefault="001D31E6" w:rsidP="00BA7DBA">
            <w:pPr>
              <w:bidi w:val="0"/>
            </w:pPr>
            <w:r w:rsidRPr="005E39F4">
              <w:t>Explaining “Legal Gaps”</w:t>
            </w:r>
          </w:p>
        </w:tc>
        <w:tc>
          <w:tcPr>
            <w:tcW w:w="6620" w:type="dxa"/>
            <w:shd w:val="clear" w:color="auto" w:fill="auto"/>
          </w:tcPr>
          <w:p w:rsidR="001D31E6" w:rsidRPr="005E39F4" w:rsidRDefault="001D31E6" w:rsidP="00BA7DBA">
            <w:pPr>
              <w:widowControl w:val="0"/>
              <w:bidi w:val="0"/>
              <w:spacing w:after="120"/>
              <w:ind w:left="360" w:hanging="360"/>
            </w:pPr>
            <w:r w:rsidRPr="005E39F4">
              <w:t xml:space="preserve">Ronald Dworkin, "Hard Cases," Harvard Law Review, 88, 1057, 1975.); Alexander, Larry and Emily Sherwin, </w:t>
            </w:r>
            <w:r w:rsidRPr="005E39F4">
              <w:rPr>
                <w:i/>
                <w:iCs/>
              </w:rPr>
              <w:t>Demystifying Legal Reasoning</w:t>
            </w:r>
            <w:r w:rsidRPr="005E39F4">
              <w:t>, Cambridge: Cambridge University Press, 2008. 1- 30</w:t>
            </w:r>
            <w:r>
              <w:t>.</w:t>
            </w:r>
          </w:p>
        </w:tc>
        <w:tc>
          <w:tcPr>
            <w:tcW w:w="2249" w:type="dxa"/>
            <w:shd w:val="clear" w:color="auto" w:fill="auto"/>
          </w:tcPr>
          <w:p w:rsidR="001D31E6" w:rsidRPr="005E39F4" w:rsidRDefault="001D31E6" w:rsidP="00BA7DBA">
            <w:pPr>
              <w:bidi w:val="0"/>
              <w:jc w:val="center"/>
              <w:rPr>
                <w:b/>
                <w:bCs/>
              </w:rPr>
            </w:pPr>
            <w:r w:rsidRPr="005E39F4">
              <w:rPr>
                <w:b/>
                <w:bCs/>
              </w:rPr>
              <w:t xml:space="preserve">Questions that require legal/rabbinic ingenuity? </w:t>
            </w:r>
          </w:p>
        </w:tc>
        <w:tc>
          <w:tcPr>
            <w:tcW w:w="931" w:type="dxa"/>
            <w:shd w:val="clear" w:color="auto" w:fill="auto"/>
          </w:tcPr>
          <w:p w:rsidR="001D31E6" w:rsidRPr="005E39F4" w:rsidRDefault="001D31E6" w:rsidP="00BA7DBA">
            <w:pPr>
              <w:bidi w:val="0"/>
              <w:spacing w:line="360" w:lineRule="auto"/>
              <w:rPr>
                <w:rtl/>
              </w:rPr>
            </w:pPr>
            <w:r w:rsidRPr="005E39F4">
              <w:t>4</w:t>
            </w:r>
          </w:p>
        </w:tc>
      </w:tr>
      <w:tr w:rsidR="001D31E6" w:rsidRPr="005E39F4" w:rsidTr="00BA7DBA">
        <w:trPr>
          <w:trHeight w:val="1700"/>
        </w:trPr>
        <w:tc>
          <w:tcPr>
            <w:tcW w:w="1630" w:type="dxa"/>
            <w:shd w:val="clear" w:color="auto" w:fill="auto"/>
          </w:tcPr>
          <w:p w:rsidR="001D31E6" w:rsidRPr="005E39F4" w:rsidRDefault="001D31E6" w:rsidP="00BA7DBA">
            <w:pPr>
              <w:bidi w:val="0"/>
            </w:pPr>
            <w:r w:rsidRPr="005E39F4">
              <w:lastRenderedPageBreak/>
              <w:t>Why business law is c</w:t>
            </w:r>
            <w:r>
              <w:t xml:space="preserve">onsidered the hardest topic of </w:t>
            </w:r>
            <w:r w:rsidRPr="005E39F4">
              <w:t xml:space="preserve">Jewish law. </w:t>
            </w:r>
          </w:p>
        </w:tc>
        <w:tc>
          <w:tcPr>
            <w:tcW w:w="6620" w:type="dxa"/>
            <w:shd w:val="clear" w:color="auto" w:fill="auto"/>
          </w:tcPr>
          <w:p w:rsidR="001D31E6" w:rsidRPr="005E39F4" w:rsidRDefault="001D31E6" w:rsidP="00BA7DBA">
            <w:pPr>
              <w:widowControl w:val="0"/>
              <w:bidi w:val="0"/>
              <w:spacing w:after="120"/>
              <w:ind w:left="360" w:hanging="360"/>
              <w:jc w:val="both"/>
            </w:pPr>
            <w:r w:rsidRPr="005E39F4">
              <w:rPr>
                <w:rFonts w:eastAsia="Calibri"/>
              </w:rPr>
              <w:t xml:space="preserve">M. Elon, </w:t>
            </w:r>
            <w:r w:rsidRPr="005E39F4">
              <w:rPr>
                <w:rFonts w:eastAsia="Calibri"/>
                <w:i/>
                <w:iCs/>
              </w:rPr>
              <w:t>Jewish Law</w:t>
            </w:r>
            <w:r w:rsidRPr="005E39F4">
              <w:rPr>
                <w:rFonts w:eastAsia="Calibri"/>
              </w:rPr>
              <w:t xml:space="preserve">, p. 1428 and 1462; David Novak, "Modern </w:t>
            </w:r>
            <w:proofErr w:type="spellStart"/>
            <w:r w:rsidRPr="005E39F4">
              <w:rPr>
                <w:rFonts w:eastAsia="Calibri"/>
              </w:rPr>
              <w:t>Responsa</w:t>
            </w:r>
            <w:proofErr w:type="spellEnd"/>
            <w:r w:rsidRPr="005E39F4">
              <w:rPr>
                <w:rFonts w:eastAsia="Calibri"/>
              </w:rPr>
              <w:t>: 1800 to the Present,"</w:t>
            </w:r>
            <w:r w:rsidRPr="005E39F4">
              <w:rPr>
                <w:rFonts w:eastAsia="Calibri"/>
                <w:i/>
                <w:iCs/>
              </w:rPr>
              <w:t xml:space="preserve"> An Introduction to the History and Sources of Jewish Law</w:t>
            </w:r>
            <w:r w:rsidRPr="005E39F4">
              <w:rPr>
                <w:rFonts w:eastAsia="Calibri"/>
              </w:rPr>
              <w:t xml:space="preserve">, Oxford &amp; New York, The Institute of Jewish Law: Boston University School of Law &amp; Oxford University Press, 1996, p. 379; </w:t>
            </w:r>
            <w:proofErr w:type="spellStart"/>
            <w:r w:rsidRPr="005E39F4">
              <w:rPr>
                <w:rFonts w:eastAsia="Calibri"/>
              </w:rPr>
              <w:t>Yedidia</w:t>
            </w:r>
            <w:proofErr w:type="spellEnd"/>
            <w:r w:rsidRPr="005E39F4">
              <w:rPr>
                <w:rFonts w:eastAsia="Calibri"/>
              </w:rPr>
              <w:t xml:space="preserve"> Z. Stern, </w:t>
            </w:r>
            <w:r w:rsidRPr="005E39F4">
              <w:rPr>
                <w:rFonts w:eastAsia="Calibri"/>
                <w:i/>
                <w:iCs/>
              </w:rPr>
              <w:t xml:space="preserve">Religion and State: The Role of </w:t>
            </w:r>
            <w:proofErr w:type="spellStart"/>
            <w:r w:rsidRPr="005E39F4">
              <w:rPr>
                <w:rFonts w:eastAsia="Calibri"/>
                <w:i/>
                <w:iCs/>
              </w:rPr>
              <w:t>Halakhah</w:t>
            </w:r>
            <w:proofErr w:type="spellEnd"/>
            <w:r w:rsidRPr="005E39F4">
              <w:rPr>
                <w:rFonts w:eastAsia="Calibri"/>
              </w:rPr>
              <w:t>, Jerusalem: The Israel Democracy Institute, Dec. 2004.</w:t>
            </w:r>
          </w:p>
        </w:tc>
        <w:tc>
          <w:tcPr>
            <w:tcW w:w="2249" w:type="dxa"/>
            <w:shd w:val="clear" w:color="auto" w:fill="auto"/>
          </w:tcPr>
          <w:p w:rsidR="001D31E6" w:rsidRPr="005E39F4" w:rsidRDefault="001D31E6" w:rsidP="00BA7DBA">
            <w:pPr>
              <w:bidi w:val="0"/>
              <w:jc w:val="center"/>
              <w:rPr>
                <w:b/>
                <w:bCs/>
              </w:rPr>
            </w:pPr>
            <w:r w:rsidRPr="005E39F4">
              <w:rPr>
                <w:b/>
                <w:bCs/>
              </w:rPr>
              <w:t>The uniqueness  of business law and the Evolution of rabbinic literature on business law</w:t>
            </w:r>
          </w:p>
        </w:tc>
        <w:tc>
          <w:tcPr>
            <w:tcW w:w="931" w:type="dxa"/>
            <w:shd w:val="clear" w:color="auto" w:fill="auto"/>
          </w:tcPr>
          <w:p w:rsidR="001D31E6" w:rsidRPr="005E39F4" w:rsidRDefault="001D31E6" w:rsidP="00BA7DBA">
            <w:pPr>
              <w:bidi w:val="0"/>
              <w:spacing w:line="360" w:lineRule="auto"/>
            </w:pPr>
            <w:r w:rsidRPr="005E39F4">
              <w:t>5</w:t>
            </w:r>
          </w:p>
        </w:tc>
      </w:tr>
      <w:tr w:rsidR="001D31E6" w:rsidRPr="005E39F4" w:rsidTr="00BA7DBA">
        <w:trPr>
          <w:trHeight w:val="1700"/>
        </w:trPr>
        <w:tc>
          <w:tcPr>
            <w:tcW w:w="1630" w:type="dxa"/>
            <w:shd w:val="clear" w:color="auto" w:fill="auto"/>
          </w:tcPr>
          <w:p w:rsidR="001D31E6" w:rsidRPr="005E39F4" w:rsidRDefault="001D31E6" w:rsidP="00BA7DBA">
            <w:pPr>
              <w:bidi w:val="0"/>
            </w:pPr>
          </w:p>
        </w:tc>
        <w:tc>
          <w:tcPr>
            <w:tcW w:w="6620" w:type="dxa"/>
            <w:shd w:val="clear" w:color="auto" w:fill="auto"/>
          </w:tcPr>
          <w:p w:rsidR="001D31E6" w:rsidRPr="005E39F4" w:rsidRDefault="001D31E6" w:rsidP="00BA7DBA">
            <w:pPr>
              <w:widowControl w:val="0"/>
              <w:bidi w:val="0"/>
              <w:spacing w:after="120"/>
              <w:ind w:left="360" w:hanging="360"/>
              <w:jc w:val="both"/>
              <w:rPr>
                <w:rFonts w:eastAsia="Calibri"/>
              </w:rPr>
            </w:pPr>
            <w:r w:rsidRPr="005E39F4">
              <w:rPr>
                <w:rFonts w:eastAsia="Calibri"/>
              </w:rPr>
              <w:t xml:space="preserve">Ronald Dworkin, "Is There Truth in Interpretation? Law, Literature and History," </w:t>
            </w:r>
            <w:r w:rsidRPr="005E39F4">
              <w:rPr>
                <w:rFonts w:eastAsia="Calibri"/>
                <w:i/>
                <w:iCs/>
              </w:rPr>
              <w:t>Library of Congress</w:t>
            </w:r>
            <w:r w:rsidRPr="005E39F4">
              <w:rPr>
                <w:rFonts w:eastAsia="Calibri"/>
              </w:rPr>
              <w:t xml:space="preserve">, </w:t>
            </w:r>
            <w:hyperlink r:id="rId6" w:history="1">
              <w:r w:rsidRPr="005E39F4">
                <w:rPr>
                  <w:rFonts w:eastAsia="Calibri"/>
                  <w:u w:val="single"/>
                </w:rPr>
                <w:t>http://www.youtube.com/watch?v=742JyiqLhuk</w:t>
              </w:r>
            </w:hyperlink>
            <w:r w:rsidRPr="005E39F4">
              <w:rPr>
                <w:rFonts w:eastAsia="Calibri"/>
              </w:rPr>
              <w:t xml:space="preserve">; </w:t>
            </w:r>
            <w:r w:rsidRPr="005E39F4">
              <w:t xml:space="preserve">Christine Hayes, "Legal Truth, Right Answers and Best Answers: Dworkin and the Rabbis," </w:t>
            </w:r>
            <w:r w:rsidRPr="005E39F4">
              <w:rPr>
                <w:i/>
                <w:iCs/>
              </w:rPr>
              <w:t xml:space="preserve">Dine Israel, </w:t>
            </w:r>
            <w:proofErr w:type="spellStart"/>
            <w:r w:rsidRPr="005E39F4">
              <w:rPr>
                <w:i/>
                <w:iCs/>
              </w:rPr>
              <w:t>vol</w:t>
            </w:r>
            <w:proofErr w:type="spellEnd"/>
            <w:r w:rsidRPr="005E39F4">
              <w:rPr>
                <w:i/>
                <w:iCs/>
              </w:rPr>
              <w:t xml:space="preserve"> 25</w:t>
            </w:r>
            <w:r w:rsidRPr="005E39F4">
              <w:t xml:space="preserve">, 2008, pp. 73-122; </w:t>
            </w:r>
            <w:proofErr w:type="spellStart"/>
            <w:r w:rsidRPr="005E39F4">
              <w:t>Igrot</w:t>
            </w:r>
            <w:proofErr w:type="spellEnd"/>
            <w:r w:rsidRPr="005E39F4">
              <w:t xml:space="preserve"> Moshe, </w:t>
            </w:r>
            <w:proofErr w:type="spellStart"/>
            <w:r w:rsidRPr="005E39F4">
              <w:t>vol</w:t>
            </w:r>
            <w:proofErr w:type="spellEnd"/>
            <w:r w:rsidRPr="005E39F4">
              <w:t xml:space="preserve"> I, Introduction.</w:t>
            </w:r>
          </w:p>
        </w:tc>
        <w:tc>
          <w:tcPr>
            <w:tcW w:w="2249" w:type="dxa"/>
            <w:shd w:val="clear" w:color="auto" w:fill="auto"/>
          </w:tcPr>
          <w:p w:rsidR="001D31E6" w:rsidRPr="005E39F4" w:rsidRDefault="001D31E6" w:rsidP="00BA7DBA">
            <w:pPr>
              <w:bidi w:val="0"/>
              <w:jc w:val="center"/>
              <w:rPr>
                <w:b/>
                <w:bCs/>
              </w:rPr>
            </w:pPr>
            <w:r w:rsidRPr="005E39F4">
              <w:rPr>
                <w:rFonts w:eastAsia="Calibri"/>
                <w:b/>
                <w:bCs/>
              </w:rPr>
              <w:t>Absolute truth vs relative truth in rabbinic decisions</w:t>
            </w:r>
          </w:p>
        </w:tc>
        <w:tc>
          <w:tcPr>
            <w:tcW w:w="931" w:type="dxa"/>
            <w:shd w:val="clear" w:color="auto" w:fill="auto"/>
          </w:tcPr>
          <w:p w:rsidR="001D31E6" w:rsidRPr="005E39F4" w:rsidRDefault="001D31E6" w:rsidP="00BA7DBA">
            <w:pPr>
              <w:bidi w:val="0"/>
              <w:spacing w:line="360" w:lineRule="auto"/>
            </w:pPr>
            <w:r w:rsidRPr="005E39F4">
              <w:rPr>
                <w:rFonts w:eastAsia="Calibri"/>
              </w:rPr>
              <w:t>6</w:t>
            </w:r>
          </w:p>
        </w:tc>
      </w:tr>
      <w:tr w:rsidR="001D31E6" w:rsidRPr="005E39F4" w:rsidTr="00BA7DBA">
        <w:tc>
          <w:tcPr>
            <w:tcW w:w="1630" w:type="dxa"/>
            <w:shd w:val="clear" w:color="auto" w:fill="auto"/>
          </w:tcPr>
          <w:p w:rsidR="001D31E6" w:rsidRPr="005E39F4" w:rsidRDefault="001D31E6" w:rsidP="00BA7DBA">
            <w:pPr>
              <w:bidi w:val="0"/>
            </w:pPr>
            <w:r w:rsidRPr="005E39F4">
              <w:t>modern customs of business vs formal law</w:t>
            </w:r>
          </w:p>
        </w:tc>
        <w:tc>
          <w:tcPr>
            <w:tcW w:w="6620" w:type="dxa"/>
            <w:shd w:val="clear" w:color="auto" w:fill="auto"/>
          </w:tcPr>
          <w:p w:rsidR="001D31E6" w:rsidRPr="005E39F4" w:rsidRDefault="001D31E6" w:rsidP="00BA7DBA">
            <w:pPr>
              <w:widowControl w:val="0"/>
              <w:bidi w:val="0"/>
              <w:spacing w:before="240"/>
              <w:outlineLvl w:val="2"/>
            </w:pPr>
          </w:p>
        </w:tc>
        <w:tc>
          <w:tcPr>
            <w:tcW w:w="2249" w:type="dxa"/>
            <w:shd w:val="clear" w:color="auto" w:fill="auto"/>
          </w:tcPr>
          <w:p w:rsidR="001D31E6" w:rsidRPr="005E39F4" w:rsidRDefault="001D31E6" w:rsidP="00BA7DBA">
            <w:pPr>
              <w:bidi w:val="0"/>
              <w:jc w:val="center"/>
              <w:rPr>
                <w:b/>
                <w:bCs/>
              </w:rPr>
            </w:pPr>
            <w:r w:rsidRPr="005E39F4">
              <w:rPr>
                <w:b/>
                <w:bCs/>
              </w:rPr>
              <w:t>Who is entitled to bank interest from an inheritance?</w:t>
            </w:r>
          </w:p>
        </w:tc>
        <w:tc>
          <w:tcPr>
            <w:tcW w:w="931" w:type="dxa"/>
            <w:shd w:val="clear" w:color="auto" w:fill="auto"/>
          </w:tcPr>
          <w:p w:rsidR="001D31E6" w:rsidRPr="005E39F4" w:rsidRDefault="001D31E6" w:rsidP="00BA7DBA">
            <w:pPr>
              <w:bidi w:val="0"/>
              <w:spacing w:line="360" w:lineRule="auto"/>
              <w:rPr>
                <w:rtl/>
              </w:rPr>
            </w:pPr>
            <w:r w:rsidRPr="005E39F4">
              <w:t>7</w:t>
            </w:r>
          </w:p>
        </w:tc>
      </w:tr>
      <w:tr w:rsidR="001D31E6" w:rsidRPr="005E39F4" w:rsidTr="00BA7DBA">
        <w:trPr>
          <w:trHeight w:val="1718"/>
        </w:trPr>
        <w:tc>
          <w:tcPr>
            <w:tcW w:w="1630" w:type="dxa"/>
            <w:shd w:val="clear" w:color="auto" w:fill="auto"/>
          </w:tcPr>
          <w:p w:rsidR="001D31E6" w:rsidRPr="005E39F4" w:rsidRDefault="001D31E6" w:rsidP="00BA7DBA">
            <w:pPr>
              <w:bidi w:val="0"/>
            </w:pPr>
            <w:r w:rsidRPr="005E39F4">
              <w:t xml:space="preserve">Understanding legal analogy </w:t>
            </w:r>
          </w:p>
        </w:tc>
        <w:tc>
          <w:tcPr>
            <w:tcW w:w="6620" w:type="dxa"/>
            <w:shd w:val="clear" w:color="auto" w:fill="auto"/>
          </w:tcPr>
          <w:p w:rsidR="001D31E6" w:rsidRPr="005E39F4" w:rsidRDefault="001D31E6" w:rsidP="00BA7DBA">
            <w:pPr>
              <w:keepNext/>
              <w:keepLines/>
              <w:bidi w:val="0"/>
              <w:spacing w:before="40"/>
              <w:outlineLvl w:val="2"/>
              <w:rPr>
                <w:rFonts w:eastAsia="Calibri"/>
              </w:rPr>
            </w:pPr>
            <w:r w:rsidRPr="005E39F4">
              <w:t xml:space="preserve">John H. Farrar, "Reasoning by Analogy in the Law," 9 </w:t>
            </w:r>
            <w:r w:rsidRPr="005E39F4">
              <w:rPr>
                <w:i/>
                <w:iCs/>
              </w:rPr>
              <w:t>Bond Law Review</w:t>
            </w:r>
            <w:r w:rsidRPr="005E39F4">
              <w:t xml:space="preserve">, 2, 1997, pp. 149-17; Richard </w:t>
            </w:r>
            <w:r w:rsidRPr="005E39F4">
              <w:rPr>
                <w:rFonts w:eastAsia="Calibri"/>
              </w:rPr>
              <w:t xml:space="preserve">Posner, </w:t>
            </w:r>
            <w:r w:rsidRPr="005E39F4">
              <w:rPr>
                <w:rFonts w:eastAsia="Calibri"/>
                <w:i/>
                <w:iCs/>
              </w:rPr>
              <w:t>The Problems of Jurisprudence</w:t>
            </w:r>
            <w:r w:rsidRPr="005E39F4">
              <w:rPr>
                <w:rFonts w:eastAsia="Calibri"/>
              </w:rPr>
              <w:t xml:space="preserve">; New England, Harvard University, 1990; BT, </w:t>
            </w:r>
            <w:proofErr w:type="spellStart"/>
            <w:r w:rsidRPr="005E39F4">
              <w:rPr>
                <w:rFonts w:eastAsia="Calibri"/>
              </w:rPr>
              <w:t>Bava</w:t>
            </w:r>
            <w:proofErr w:type="spellEnd"/>
            <w:r w:rsidRPr="005E39F4">
              <w:rPr>
                <w:rFonts w:eastAsia="Calibri"/>
              </w:rPr>
              <w:t xml:space="preserve"> </w:t>
            </w:r>
            <w:proofErr w:type="spellStart"/>
            <w:r w:rsidRPr="005E39F4">
              <w:rPr>
                <w:rFonts w:eastAsia="Calibri"/>
              </w:rPr>
              <w:t>Batra</w:t>
            </w:r>
            <w:proofErr w:type="spellEnd"/>
            <w:r w:rsidRPr="005E39F4">
              <w:rPr>
                <w:rFonts w:eastAsia="Calibri"/>
              </w:rPr>
              <w:t>, 101b;</w:t>
            </w:r>
            <w:r w:rsidRPr="005E39F4">
              <w:rPr>
                <w:rFonts w:eastAsia="Calibri"/>
                <w:i/>
                <w:iCs/>
              </w:rPr>
              <w:t xml:space="preserve"> </w:t>
            </w:r>
            <w:proofErr w:type="spellStart"/>
            <w:r w:rsidRPr="005E39F4">
              <w:rPr>
                <w:rFonts w:eastAsia="Calibri"/>
                <w:i/>
                <w:iCs/>
              </w:rPr>
              <w:t>Igrot</w:t>
            </w:r>
            <w:proofErr w:type="spellEnd"/>
            <w:r w:rsidRPr="005E39F4">
              <w:rPr>
                <w:rFonts w:eastAsia="Calibri"/>
                <w:i/>
                <w:iCs/>
              </w:rPr>
              <w:t xml:space="preserve"> Moshe,</w:t>
            </w:r>
            <w:r w:rsidRPr="005E39F4">
              <w:rPr>
                <w:rFonts w:eastAsia="Calibri"/>
              </w:rPr>
              <w:t xml:space="preserve"> </w:t>
            </w:r>
            <w:proofErr w:type="spellStart"/>
            <w:r w:rsidRPr="005E39F4">
              <w:rPr>
                <w:rFonts w:eastAsia="Calibri"/>
              </w:rPr>
              <w:t>Hoshen</w:t>
            </w:r>
            <w:proofErr w:type="spellEnd"/>
            <w:r w:rsidRPr="005E39F4">
              <w:rPr>
                <w:rFonts w:eastAsia="Calibri"/>
              </w:rPr>
              <w:t xml:space="preserve"> </w:t>
            </w:r>
            <w:proofErr w:type="spellStart"/>
            <w:r w:rsidRPr="005E39F4">
              <w:rPr>
                <w:rFonts w:eastAsia="Calibri"/>
              </w:rPr>
              <w:t>Mishpat</w:t>
            </w:r>
            <w:proofErr w:type="spellEnd"/>
            <w:r w:rsidRPr="005E39F4">
              <w:rPr>
                <w:rFonts w:eastAsia="Calibri"/>
              </w:rPr>
              <w:t xml:space="preserve">, </w:t>
            </w:r>
            <w:proofErr w:type="spellStart"/>
            <w:r w:rsidRPr="005E39F4">
              <w:rPr>
                <w:rFonts w:eastAsia="Calibri"/>
              </w:rPr>
              <w:t>vol</w:t>
            </w:r>
            <w:proofErr w:type="spellEnd"/>
            <w:r w:rsidRPr="005E39F4">
              <w:rPr>
                <w:rFonts w:eastAsia="Calibri"/>
              </w:rPr>
              <w:t xml:space="preserve"> II, 56;</w:t>
            </w:r>
          </w:p>
          <w:p w:rsidR="001D31E6" w:rsidRPr="005E39F4" w:rsidRDefault="001D31E6" w:rsidP="00BA7DBA">
            <w:pPr>
              <w:widowControl w:val="0"/>
              <w:bidi w:val="0"/>
              <w:spacing w:after="120"/>
              <w:ind w:left="360" w:hanging="360"/>
              <w:jc w:val="both"/>
            </w:pPr>
          </w:p>
          <w:p w:rsidR="001D31E6" w:rsidRPr="005E39F4" w:rsidRDefault="001D31E6" w:rsidP="00BA7DBA">
            <w:pPr>
              <w:bidi w:val="0"/>
            </w:pPr>
          </w:p>
        </w:tc>
        <w:tc>
          <w:tcPr>
            <w:tcW w:w="2249" w:type="dxa"/>
            <w:shd w:val="clear" w:color="auto" w:fill="auto"/>
          </w:tcPr>
          <w:p w:rsidR="001D31E6" w:rsidRPr="005E39F4" w:rsidRDefault="001D31E6" w:rsidP="00BA7DBA">
            <w:pPr>
              <w:bidi w:val="0"/>
              <w:jc w:val="center"/>
              <w:rPr>
                <w:b/>
                <w:bCs/>
              </w:rPr>
            </w:pPr>
            <w:r w:rsidRPr="005E39F4">
              <w:rPr>
                <w:b/>
                <w:bCs/>
              </w:rPr>
              <w:t>Case: Your friend left her shoes in your closet for over two years, may they be discarded?</w:t>
            </w:r>
          </w:p>
        </w:tc>
        <w:tc>
          <w:tcPr>
            <w:tcW w:w="931" w:type="dxa"/>
            <w:shd w:val="clear" w:color="auto" w:fill="auto"/>
          </w:tcPr>
          <w:p w:rsidR="001D31E6" w:rsidRPr="005E39F4" w:rsidRDefault="001D31E6" w:rsidP="00BA7DBA">
            <w:pPr>
              <w:bidi w:val="0"/>
              <w:spacing w:line="360" w:lineRule="auto"/>
              <w:rPr>
                <w:rtl/>
              </w:rPr>
            </w:pPr>
            <w:r w:rsidRPr="005E39F4">
              <w:t>8</w:t>
            </w:r>
          </w:p>
        </w:tc>
      </w:tr>
      <w:tr w:rsidR="001D31E6" w:rsidRPr="005E39F4" w:rsidTr="00BA7DBA">
        <w:tc>
          <w:tcPr>
            <w:tcW w:w="1630" w:type="dxa"/>
            <w:shd w:val="clear" w:color="auto" w:fill="auto"/>
          </w:tcPr>
          <w:p w:rsidR="001D31E6" w:rsidRPr="005E39F4" w:rsidRDefault="001D31E6" w:rsidP="00BA7DBA">
            <w:pPr>
              <w:bidi w:val="0"/>
            </w:pPr>
            <w:r w:rsidRPr="005E39F4">
              <w:t>legal fiction</w:t>
            </w:r>
          </w:p>
        </w:tc>
        <w:tc>
          <w:tcPr>
            <w:tcW w:w="6620" w:type="dxa"/>
            <w:shd w:val="clear" w:color="auto" w:fill="auto"/>
          </w:tcPr>
          <w:p w:rsidR="001D31E6" w:rsidRPr="005E39F4" w:rsidRDefault="001D31E6" w:rsidP="00BA7DBA">
            <w:pPr>
              <w:bidi w:val="0"/>
            </w:pPr>
            <w:r w:rsidRPr="005E39F4">
              <w:rPr>
                <w:rFonts w:eastAsia="Calibri"/>
              </w:rPr>
              <w:t xml:space="preserve">Michael </w:t>
            </w:r>
            <w:proofErr w:type="spellStart"/>
            <w:r w:rsidRPr="005E39F4">
              <w:rPr>
                <w:rFonts w:eastAsia="Calibri"/>
              </w:rPr>
              <w:t>Broyde</w:t>
            </w:r>
            <w:proofErr w:type="spellEnd"/>
            <w:r w:rsidRPr="005E39F4">
              <w:rPr>
                <w:rFonts w:eastAsia="Calibri"/>
              </w:rPr>
              <w:t xml:space="preserve"> and Stephan H. </w:t>
            </w:r>
            <w:proofErr w:type="spellStart"/>
            <w:r w:rsidRPr="005E39F4">
              <w:rPr>
                <w:rFonts w:eastAsia="Calibri"/>
              </w:rPr>
              <w:t>Resnicoff</w:t>
            </w:r>
            <w:proofErr w:type="spellEnd"/>
            <w:r w:rsidRPr="005E39F4">
              <w:rPr>
                <w:rFonts w:eastAsia="Calibri"/>
              </w:rPr>
              <w:t xml:space="preserve">, "Jewish Law &amp; Modern Business Structures: A Corporate Paradigm," </w:t>
            </w:r>
            <w:r w:rsidRPr="005E39F4">
              <w:rPr>
                <w:rFonts w:eastAsia="Calibri"/>
                <w:i/>
                <w:iCs/>
              </w:rPr>
              <w:t>The Wayne Law Review; Fall, 1997; 43 Wayne L. Rev. 1685</w:t>
            </w:r>
            <w:r w:rsidRPr="005E39F4">
              <w:rPr>
                <w:rFonts w:eastAsia="Calibri"/>
              </w:rPr>
              <w:t xml:space="preserve">. </w:t>
            </w:r>
            <w:hyperlink r:id="rId7" w:history="1">
              <w:r w:rsidRPr="005E39F4">
                <w:rPr>
                  <w:rFonts w:eastAsia="Calibri"/>
                  <w:u w:val="single"/>
                </w:rPr>
                <w:t>http://www.jlaw.com/Articles/corporations</w:t>
              </w:r>
            </w:hyperlink>
          </w:p>
        </w:tc>
        <w:tc>
          <w:tcPr>
            <w:tcW w:w="2249" w:type="dxa"/>
            <w:shd w:val="clear" w:color="auto" w:fill="auto"/>
          </w:tcPr>
          <w:p w:rsidR="001D31E6" w:rsidRPr="005E39F4" w:rsidRDefault="001D31E6" w:rsidP="00BA7DBA">
            <w:pPr>
              <w:bidi w:val="0"/>
              <w:jc w:val="center"/>
              <w:rPr>
                <w:b/>
                <w:bCs/>
              </w:rPr>
            </w:pPr>
            <w:r w:rsidRPr="005E39F4">
              <w:rPr>
                <w:b/>
                <w:bCs/>
              </w:rPr>
              <w:t>Jewish legal status of corporations.</w:t>
            </w:r>
          </w:p>
          <w:p w:rsidR="001D31E6" w:rsidRPr="005E39F4" w:rsidRDefault="001D31E6" w:rsidP="00BA7DBA">
            <w:pPr>
              <w:bidi w:val="0"/>
              <w:jc w:val="center"/>
              <w:rPr>
                <w:b/>
                <w:bCs/>
              </w:rPr>
            </w:pPr>
          </w:p>
        </w:tc>
        <w:tc>
          <w:tcPr>
            <w:tcW w:w="931" w:type="dxa"/>
            <w:shd w:val="clear" w:color="auto" w:fill="auto"/>
          </w:tcPr>
          <w:p w:rsidR="001D31E6" w:rsidRPr="005E39F4" w:rsidRDefault="001D31E6" w:rsidP="00BA7DBA">
            <w:pPr>
              <w:bidi w:val="0"/>
              <w:spacing w:line="360" w:lineRule="auto"/>
              <w:rPr>
                <w:rtl/>
              </w:rPr>
            </w:pPr>
            <w:r w:rsidRPr="005E39F4">
              <w:t>9</w:t>
            </w:r>
          </w:p>
        </w:tc>
      </w:tr>
      <w:tr w:rsidR="001D31E6" w:rsidRPr="005E39F4" w:rsidTr="00BA7DBA">
        <w:tc>
          <w:tcPr>
            <w:tcW w:w="1630" w:type="dxa"/>
            <w:shd w:val="clear" w:color="auto" w:fill="auto"/>
          </w:tcPr>
          <w:p w:rsidR="001D31E6" w:rsidRPr="005E39F4" w:rsidRDefault="001D31E6" w:rsidP="00BA7DBA">
            <w:pPr>
              <w:bidi w:val="0"/>
            </w:pPr>
            <w:r w:rsidRPr="005E39F4">
              <w:t>legal fiction</w:t>
            </w:r>
          </w:p>
        </w:tc>
        <w:tc>
          <w:tcPr>
            <w:tcW w:w="6620" w:type="dxa"/>
            <w:shd w:val="clear" w:color="auto" w:fill="auto"/>
          </w:tcPr>
          <w:p w:rsidR="001D31E6" w:rsidRPr="005E39F4" w:rsidRDefault="001D31E6" w:rsidP="00BA7DBA">
            <w:pPr>
              <w:bidi w:val="0"/>
            </w:pPr>
            <w:hyperlink r:id="rId8" w:history="1">
              <w:r w:rsidRPr="005E39F4">
                <w:rPr>
                  <w:rFonts w:eastAsia="Calibri"/>
                </w:rPr>
                <w:t>Exodus, 22:25-27</w:t>
              </w:r>
            </w:hyperlink>
            <w:r w:rsidRPr="005E39F4">
              <w:rPr>
                <w:rFonts w:eastAsia="Calibri"/>
              </w:rPr>
              <w:t>, </w:t>
            </w:r>
            <w:hyperlink r:id="rId9" w:history="1">
              <w:r w:rsidRPr="005E39F4">
                <w:rPr>
                  <w:rFonts w:eastAsia="Calibri"/>
                </w:rPr>
                <w:t>Leviticus, 25:36–37</w:t>
              </w:r>
            </w:hyperlink>
            <w:r w:rsidRPr="005E39F4">
              <w:rPr>
                <w:rFonts w:eastAsia="Calibri"/>
              </w:rPr>
              <w:t> and </w:t>
            </w:r>
            <w:hyperlink r:id="rId10" w:history="1">
              <w:r w:rsidRPr="005E39F4">
                <w:rPr>
                  <w:rFonts w:eastAsia="Calibri"/>
                </w:rPr>
                <w:t>Deuteronomy, 23:20-21</w:t>
              </w:r>
            </w:hyperlink>
            <w:r w:rsidRPr="005E39F4">
              <w:rPr>
                <w:rFonts w:eastAsia="Calibri"/>
              </w:rPr>
              <w:t xml:space="preserve">; Maimonides, </w:t>
            </w:r>
            <w:proofErr w:type="spellStart"/>
            <w:r w:rsidRPr="005E39F4">
              <w:rPr>
                <w:rFonts w:eastAsia="Calibri"/>
              </w:rPr>
              <w:t>Sheluhin</w:t>
            </w:r>
            <w:proofErr w:type="spellEnd"/>
            <w:r w:rsidRPr="005E39F4">
              <w:rPr>
                <w:rFonts w:eastAsia="Calibri"/>
              </w:rPr>
              <w:t xml:space="preserve"> </w:t>
            </w:r>
            <w:proofErr w:type="spellStart"/>
            <w:r w:rsidRPr="005E39F4">
              <w:rPr>
                <w:rFonts w:eastAsia="Calibri"/>
              </w:rPr>
              <w:t>Veshutfin</w:t>
            </w:r>
            <w:proofErr w:type="spellEnd"/>
            <w:r w:rsidRPr="005E39F4">
              <w:rPr>
                <w:rFonts w:eastAsia="Calibri"/>
              </w:rPr>
              <w:t xml:space="preserve">, 6:2. J. David </w:t>
            </w:r>
            <w:proofErr w:type="spellStart"/>
            <w:r w:rsidRPr="005E39F4">
              <w:rPr>
                <w:rFonts w:eastAsia="Calibri"/>
              </w:rPr>
              <w:t>Bleich</w:t>
            </w:r>
            <w:proofErr w:type="spellEnd"/>
            <w:r w:rsidRPr="005E39F4">
              <w:rPr>
                <w:rFonts w:eastAsia="Calibri"/>
              </w:rPr>
              <w:t xml:space="preserve">, "Survey of Recent Halakhic Periodical Literature: The </w:t>
            </w:r>
            <w:proofErr w:type="spellStart"/>
            <w:r w:rsidRPr="005E39F4">
              <w:rPr>
                <w:rFonts w:eastAsia="Calibri"/>
              </w:rPr>
              <w:t>Heter</w:t>
            </w:r>
            <w:proofErr w:type="spellEnd"/>
            <w:r w:rsidRPr="005E39F4">
              <w:rPr>
                <w:rFonts w:eastAsia="Calibri"/>
              </w:rPr>
              <w:t xml:space="preserve"> </w:t>
            </w:r>
            <w:proofErr w:type="spellStart"/>
            <w:r w:rsidRPr="005E39F4">
              <w:rPr>
                <w:rFonts w:eastAsia="Calibri"/>
              </w:rPr>
              <w:t>Iska</w:t>
            </w:r>
            <w:proofErr w:type="spellEnd"/>
            <w:r w:rsidRPr="005E39F4">
              <w:rPr>
                <w:rFonts w:eastAsia="Calibri"/>
              </w:rPr>
              <w:t xml:space="preserve"> and American Courts," </w:t>
            </w:r>
            <w:r w:rsidRPr="005E39F4">
              <w:rPr>
                <w:rFonts w:eastAsia="Calibri"/>
                <w:i/>
                <w:iCs/>
              </w:rPr>
              <w:t>Tradition</w:t>
            </w:r>
            <w:r w:rsidRPr="005E39F4">
              <w:rPr>
                <w:rFonts w:eastAsia="Calibri"/>
              </w:rPr>
              <w:t xml:space="preserve">, </w:t>
            </w:r>
            <w:proofErr w:type="spellStart"/>
            <w:r w:rsidRPr="005E39F4">
              <w:rPr>
                <w:rFonts w:eastAsia="Calibri"/>
              </w:rPr>
              <w:t>vol</w:t>
            </w:r>
            <w:proofErr w:type="spellEnd"/>
            <w:r w:rsidRPr="005E39F4">
              <w:rPr>
                <w:rFonts w:eastAsia="Calibri"/>
              </w:rPr>
              <w:t xml:space="preserve"> 42, 4, 2009, pp. 49- 79.</w:t>
            </w:r>
          </w:p>
        </w:tc>
        <w:tc>
          <w:tcPr>
            <w:tcW w:w="2249" w:type="dxa"/>
            <w:shd w:val="clear" w:color="auto" w:fill="auto"/>
          </w:tcPr>
          <w:p w:rsidR="001D31E6" w:rsidRPr="005E39F4" w:rsidRDefault="001D31E6" w:rsidP="00BA7DBA">
            <w:pPr>
              <w:bidi w:val="0"/>
              <w:jc w:val="center"/>
              <w:rPr>
                <w:b/>
                <w:bCs/>
              </w:rPr>
            </w:pPr>
            <w:r w:rsidRPr="005E39F4">
              <w:rPr>
                <w:b/>
                <w:bCs/>
                <w:i/>
                <w:iCs/>
              </w:rPr>
              <w:t xml:space="preserve">Prohibition of charging interest on loans and </w:t>
            </w:r>
            <w:proofErr w:type="spellStart"/>
            <w:r w:rsidRPr="005E39F4">
              <w:rPr>
                <w:b/>
                <w:bCs/>
                <w:i/>
                <w:iCs/>
              </w:rPr>
              <w:t>heter</w:t>
            </w:r>
            <w:proofErr w:type="spellEnd"/>
            <w:r w:rsidRPr="005E39F4">
              <w:rPr>
                <w:b/>
                <w:bCs/>
                <w:i/>
                <w:iCs/>
              </w:rPr>
              <w:t xml:space="preserve"> </w:t>
            </w:r>
            <w:proofErr w:type="spellStart"/>
            <w:r w:rsidRPr="005E39F4">
              <w:rPr>
                <w:b/>
                <w:bCs/>
                <w:i/>
                <w:iCs/>
              </w:rPr>
              <w:t>iska</w:t>
            </w:r>
            <w:proofErr w:type="spellEnd"/>
            <w:r w:rsidRPr="005E39F4">
              <w:rPr>
                <w:b/>
                <w:bCs/>
                <w:i/>
                <w:iCs/>
              </w:rPr>
              <w:t>,</w:t>
            </w:r>
          </w:p>
        </w:tc>
        <w:tc>
          <w:tcPr>
            <w:tcW w:w="931" w:type="dxa"/>
            <w:shd w:val="clear" w:color="auto" w:fill="auto"/>
          </w:tcPr>
          <w:p w:rsidR="001D31E6" w:rsidRPr="005E39F4" w:rsidRDefault="001D31E6" w:rsidP="00BA7DBA">
            <w:pPr>
              <w:bidi w:val="0"/>
              <w:spacing w:line="360" w:lineRule="auto"/>
              <w:rPr>
                <w:rtl/>
              </w:rPr>
            </w:pPr>
            <w:r w:rsidRPr="005E39F4">
              <w:t>10</w:t>
            </w:r>
          </w:p>
        </w:tc>
      </w:tr>
      <w:tr w:rsidR="001D31E6" w:rsidRPr="005E39F4" w:rsidTr="00BA7DBA">
        <w:trPr>
          <w:trHeight w:val="699"/>
        </w:trPr>
        <w:tc>
          <w:tcPr>
            <w:tcW w:w="1630" w:type="dxa"/>
            <w:shd w:val="clear" w:color="auto" w:fill="auto"/>
          </w:tcPr>
          <w:p w:rsidR="001D31E6" w:rsidRPr="005E39F4" w:rsidRDefault="001D31E6" w:rsidP="00BA7DBA">
            <w:pPr>
              <w:bidi w:val="0"/>
            </w:pPr>
          </w:p>
        </w:tc>
        <w:tc>
          <w:tcPr>
            <w:tcW w:w="6620" w:type="dxa"/>
            <w:shd w:val="clear" w:color="auto" w:fill="auto"/>
          </w:tcPr>
          <w:p w:rsidR="001D31E6" w:rsidRPr="005E39F4" w:rsidRDefault="001D31E6" w:rsidP="00BA7DBA">
            <w:pPr>
              <w:keepLines/>
              <w:widowControl w:val="0"/>
              <w:bidi w:val="0"/>
              <w:spacing w:before="240"/>
              <w:outlineLvl w:val="2"/>
              <w:rPr>
                <w:rFonts w:eastAsia="Calibri"/>
              </w:rPr>
            </w:pPr>
            <w:proofErr w:type="spellStart"/>
            <w:r w:rsidRPr="005E39F4">
              <w:rPr>
                <w:rFonts w:eastAsia="Calibri"/>
                <w:i/>
                <w:iCs/>
              </w:rPr>
              <w:t>Igrot</w:t>
            </w:r>
            <w:proofErr w:type="spellEnd"/>
            <w:r w:rsidRPr="005E39F4">
              <w:rPr>
                <w:rFonts w:eastAsia="Calibri"/>
                <w:i/>
                <w:iCs/>
              </w:rPr>
              <w:t xml:space="preserve"> Moshe,</w:t>
            </w:r>
            <w:r w:rsidRPr="005E39F4">
              <w:rPr>
                <w:rFonts w:eastAsia="Calibri"/>
              </w:rPr>
              <w:t xml:space="preserve"> </w:t>
            </w:r>
            <w:proofErr w:type="spellStart"/>
            <w:r w:rsidRPr="005E39F4">
              <w:rPr>
                <w:rFonts w:eastAsia="Calibri"/>
              </w:rPr>
              <w:t>Orah</w:t>
            </w:r>
            <w:proofErr w:type="spellEnd"/>
            <w:r w:rsidRPr="005E39F4">
              <w:rPr>
                <w:rFonts w:eastAsia="Calibri"/>
              </w:rPr>
              <w:t xml:space="preserve"> Haim, </w:t>
            </w:r>
            <w:proofErr w:type="spellStart"/>
            <w:r w:rsidRPr="005E39F4">
              <w:rPr>
                <w:rFonts w:eastAsia="Calibri"/>
              </w:rPr>
              <w:t>vol</w:t>
            </w:r>
            <w:proofErr w:type="spellEnd"/>
            <w:r w:rsidRPr="005E39F4">
              <w:rPr>
                <w:rFonts w:eastAsia="Calibri"/>
              </w:rPr>
              <w:t xml:space="preserve"> I, 91</w:t>
            </w:r>
          </w:p>
          <w:p w:rsidR="001D31E6" w:rsidRPr="005E39F4" w:rsidRDefault="001D31E6" w:rsidP="00BA7DBA">
            <w:pPr>
              <w:bidi w:val="0"/>
            </w:pPr>
          </w:p>
        </w:tc>
        <w:tc>
          <w:tcPr>
            <w:tcW w:w="2249" w:type="dxa"/>
            <w:shd w:val="clear" w:color="auto" w:fill="auto"/>
          </w:tcPr>
          <w:p w:rsidR="001D31E6" w:rsidRPr="005E39F4" w:rsidRDefault="001D31E6" w:rsidP="00BA7DBA">
            <w:pPr>
              <w:bidi w:val="0"/>
              <w:jc w:val="center"/>
              <w:rPr>
                <w:b/>
                <w:bCs/>
              </w:rPr>
            </w:pPr>
            <w:r w:rsidRPr="005E39F4">
              <w:rPr>
                <w:b/>
                <w:bCs/>
              </w:rPr>
              <w:t>Running a business on Shabbat.</w:t>
            </w:r>
          </w:p>
        </w:tc>
        <w:tc>
          <w:tcPr>
            <w:tcW w:w="931" w:type="dxa"/>
            <w:shd w:val="clear" w:color="auto" w:fill="auto"/>
          </w:tcPr>
          <w:p w:rsidR="001D31E6" w:rsidRPr="005E39F4" w:rsidRDefault="001D31E6" w:rsidP="00BA7DBA">
            <w:pPr>
              <w:bidi w:val="0"/>
              <w:spacing w:line="360" w:lineRule="auto"/>
              <w:rPr>
                <w:rtl/>
              </w:rPr>
            </w:pPr>
            <w:r w:rsidRPr="005E39F4">
              <w:t>11</w:t>
            </w:r>
          </w:p>
        </w:tc>
      </w:tr>
      <w:tr w:rsidR="001D31E6" w:rsidRPr="005E39F4" w:rsidTr="00BA7DBA">
        <w:tc>
          <w:tcPr>
            <w:tcW w:w="1630" w:type="dxa"/>
            <w:shd w:val="clear" w:color="auto" w:fill="auto"/>
          </w:tcPr>
          <w:p w:rsidR="001D31E6" w:rsidRPr="005E39F4" w:rsidRDefault="001D31E6" w:rsidP="00BA7DBA">
            <w:pPr>
              <w:bidi w:val="0"/>
            </w:pPr>
          </w:p>
        </w:tc>
        <w:tc>
          <w:tcPr>
            <w:tcW w:w="6620" w:type="dxa"/>
            <w:shd w:val="clear" w:color="auto" w:fill="auto"/>
          </w:tcPr>
          <w:p w:rsidR="001D31E6" w:rsidRPr="005E39F4" w:rsidRDefault="001D31E6" w:rsidP="00BA7DBA">
            <w:pPr>
              <w:bidi w:val="0"/>
            </w:pPr>
            <w:r w:rsidRPr="005E39F4">
              <w:t xml:space="preserve">Baruch Finkelstein, “Renting a property to non-Jews in Israel”, </w:t>
            </w:r>
            <w:proofErr w:type="spellStart"/>
            <w:r w:rsidRPr="005E39F4">
              <w:rPr>
                <w:i/>
                <w:iCs/>
              </w:rPr>
              <w:t>Techumin</w:t>
            </w:r>
            <w:proofErr w:type="spellEnd"/>
            <w:r w:rsidRPr="005E39F4">
              <w:t xml:space="preserve"> </w:t>
            </w:r>
            <w:proofErr w:type="spellStart"/>
            <w:r w:rsidRPr="005E39F4">
              <w:t>vol</w:t>
            </w:r>
            <w:proofErr w:type="spellEnd"/>
            <w:r w:rsidRPr="005E39F4">
              <w:t xml:space="preserve"> 31. </w:t>
            </w:r>
          </w:p>
          <w:p w:rsidR="001D31E6" w:rsidRPr="005E39F4" w:rsidRDefault="001D31E6" w:rsidP="00BA7DBA">
            <w:pPr>
              <w:bidi w:val="0"/>
            </w:pPr>
          </w:p>
        </w:tc>
        <w:tc>
          <w:tcPr>
            <w:tcW w:w="2249" w:type="dxa"/>
            <w:shd w:val="clear" w:color="auto" w:fill="auto"/>
          </w:tcPr>
          <w:p w:rsidR="001D31E6" w:rsidRPr="005E39F4" w:rsidRDefault="001D31E6" w:rsidP="00BA7DBA">
            <w:pPr>
              <w:bidi w:val="0"/>
              <w:jc w:val="center"/>
              <w:rPr>
                <w:b/>
                <w:bCs/>
              </w:rPr>
            </w:pPr>
            <w:r w:rsidRPr="005E39F4">
              <w:rPr>
                <w:b/>
                <w:bCs/>
              </w:rPr>
              <w:t>Renting an apartment to non-Jews in Israel.</w:t>
            </w:r>
          </w:p>
        </w:tc>
        <w:tc>
          <w:tcPr>
            <w:tcW w:w="931" w:type="dxa"/>
            <w:shd w:val="clear" w:color="auto" w:fill="auto"/>
          </w:tcPr>
          <w:p w:rsidR="001D31E6" w:rsidRPr="005E39F4" w:rsidRDefault="001D31E6" w:rsidP="00BA7DBA">
            <w:pPr>
              <w:bidi w:val="0"/>
              <w:spacing w:line="360" w:lineRule="auto"/>
              <w:rPr>
                <w:rtl/>
              </w:rPr>
            </w:pPr>
            <w:r w:rsidRPr="005E39F4">
              <w:t>12</w:t>
            </w:r>
          </w:p>
        </w:tc>
      </w:tr>
      <w:tr w:rsidR="001D31E6" w:rsidRPr="005E39F4" w:rsidTr="00BA7DBA">
        <w:trPr>
          <w:trHeight w:val="1610"/>
        </w:trPr>
        <w:tc>
          <w:tcPr>
            <w:tcW w:w="1630" w:type="dxa"/>
            <w:shd w:val="clear" w:color="auto" w:fill="auto"/>
          </w:tcPr>
          <w:p w:rsidR="001D31E6" w:rsidRPr="005E39F4" w:rsidRDefault="001D31E6" w:rsidP="00BA7DBA">
            <w:pPr>
              <w:bidi w:val="0"/>
            </w:pPr>
            <w:r w:rsidRPr="005E39F4">
              <w:t>Utility vs halakhic integrity</w:t>
            </w:r>
          </w:p>
        </w:tc>
        <w:tc>
          <w:tcPr>
            <w:tcW w:w="6620" w:type="dxa"/>
            <w:shd w:val="clear" w:color="auto" w:fill="auto"/>
          </w:tcPr>
          <w:p w:rsidR="001D31E6" w:rsidRPr="002B2945" w:rsidRDefault="001D31E6" w:rsidP="00BA7DBA">
            <w:pPr>
              <w:keepNext/>
              <w:keepLines/>
              <w:bidi w:val="0"/>
              <w:spacing w:before="40"/>
              <w:outlineLvl w:val="2"/>
              <w:rPr>
                <w:rFonts w:eastAsia="Calibri"/>
              </w:rPr>
            </w:pPr>
            <w:r w:rsidRPr="005E39F4">
              <w:rPr>
                <w:rFonts w:eastAsia="Calibri"/>
              </w:rPr>
              <w:t>Benjamin N. Cardozo, "The Nature of the Judicial Process,"</w:t>
            </w:r>
            <w:r w:rsidRPr="005E39F4">
              <w:rPr>
                <w:rFonts w:eastAsia="Calibri"/>
                <w:i/>
                <w:iCs/>
              </w:rPr>
              <w:t xml:space="preserve"> </w:t>
            </w:r>
            <w:r w:rsidRPr="005E39F4">
              <w:rPr>
                <w:rFonts w:eastAsia="Calibri"/>
              </w:rPr>
              <w:t xml:space="preserve">pp. Yale University Press, pp. 132-133; </w:t>
            </w:r>
            <w:proofErr w:type="spellStart"/>
            <w:r w:rsidRPr="005E39F4">
              <w:rPr>
                <w:rFonts w:eastAsia="Calibri"/>
              </w:rPr>
              <w:t>Ovadya</w:t>
            </w:r>
            <w:proofErr w:type="spellEnd"/>
            <w:r w:rsidRPr="005E39F4">
              <w:rPr>
                <w:rFonts w:eastAsia="Calibri"/>
              </w:rPr>
              <w:t xml:space="preserve"> Yosef: </w:t>
            </w:r>
            <w:proofErr w:type="spellStart"/>
            <w:r w:rsidRPr="005E39F4">
              <w:rPr>
                <w:rFonts w:eastAsia="Calibri"/>
              </w:rPr>
              <w:t>Yehave</w:t>
            </w:r>
            <w:proofErr w:type="spellEnd"/>
            <w:r w:rsidRPr="005E39F4">
              <w:rPr>
                <w:rFonts w:eastAsia="Calibri"/>
              </w:rPr>
              <w:t xml:space="preserve"> </w:t>
            </w:r>
            <w:proofErr w:type="spellStart"/>
            <w:r w:rsidRPr="005E39F4">
              <w:rPr>
                <w:rFonts w:eastAsia="Calibri"/>
              </w:rPr>
              <w:t>Daat</w:t>
            </w:r>
            <w:proofErr w:type="spellEnd"/>
            <w:r w:rsidRPr="005E39F4">
              <w:rPr>
                <w:rFonts w:eastAsia="Calibri"/>
              </w:rPr>
              <w:t xml:space="preserve">, </w:t>
            </w:r>
            <w:proofErr w:type="spellStart"/>
            <w:r w:rsidRPr="005E39F4">
              <w:rPr>
                <w:rFonts w:eastAsia="Calibri"/>
              </w:rPr>
              <w:t>vol</w:t>
            </w:r>
            <w:proofErr w:type="spellEnd"/>
            <w:r w:rsidRPr="005E39F4">
              <w:rPr>
                <w:rFonts w:eastAsia="Calibri"/>
              </w:rPr>
              <w:t xml:space="preserve"> IV, 48;</w:t>
            </w:r>
            <w:r w:rsidRPr="005E39F4">
              <w:rPr>
                <w:rFonts w:eastAsia="Calibri"/>
                <w:lang w:val="de-DE"/>
              </w:rPr>
              <w:t xml:space="preserve"> Aharon Kotler: </w:t>
            </w:r>
            <w:r w:rsidRPr="005E39F4">
              <w:rPr>
                <w:rFonts w:eastAsia="Calibri"/>
                <w:i/>
                <w:lang w:val="de-DE"/>
              </w:rPr>
              <w:t>Mishna</w:t>
            </w:r>
            <w:r w:rsidRPr="005E39F4">
              <w:rPr>
                <w:rFonts w:eastAsia="Calibri"/>
                <w:i/>
                <w:iCs/>
                <w:lang w:val="de-DE"/>
              </w:rPr>
              <w:t>t Aharon,</w:t>
            </w:r>
            <w:r w:rsidRPr="005E39F4">
              <w:rPr>
                <w:rFonts w:eastAsia="Calibri"/>
                <w:lang w:val="de-DE"/>
              </w:rPr>
              <w:t xml:space="preserve"> vol II, Hoshen Mishpat, 71; </w:t>
            </w:r>
            <w:proofErr w:type="spellStart"/>
            <w:r w:rsidRPr="005E39F4">
              <w:rPr>
                <w:rFonts w:eastAsia="Calibri"/>
              </w:rPr>
              <w:t>Shlomo</w:t>
            </w:r>
            <w:proofErr w:type="spellEnd"/>
            <w:r w:rsidRPr="005E39F4">
              <w:rPr>
                <w:rFonts w:eastAsia="Calibri"/>
              </w:rPr>
              <w:t xml:space="preserve"> </w:t>
            </w:r>
            <w:proofErr w:type="spellStart"/>
            <w:r w:rsidRPr="005E39F4">
              <w:rPr>
                <w:rFonts w:eastAsia="Calibri"/>
              </w:rPr>
              <w:t>Zalman</w:t>
            </w:r>
            <w:proofErr w:type="spellEnd"/>
            <w:r w:rsidRPr="005E39F4">
              <w:rPr>
                <w:rFonts w:eastAsia="Calibri"/>
              </w:rPr>
              <w:t xml:space="preserve"> </w:t>
            </w:r>
            <w:proofErr w:type="spellStart"/>
            <w:r w:rsidRPr="005E39F4">
              <w:rPr>
                <w:rFonts w:eastAsia="Calibri"/>
              </w:rPr>
              <w:t>Orbach</w:t>
            </w:r>
            <w:proofErr w:type="spellEnd"/>
            <w:r w:rsidRPr="005E39F4">
              <w:rPr>
                <w:rFonts w:eastAsia="Calibri"/>
              </w:rPr>
              <w:t xml:space="preserve">: </w:t>
            </w:r>
            <w:proofErr w:type="spellStart"/>
            <w:r w:rsidRPr="005E39F4">
              <w:rPr>
                <w:rFonts w:eastAsia="Calibri"/>
                <w:i/>
                <w:iCs/>
              </w:rPr>
              <w:t>Minhat</w:t>
            </w:r>
            <w:proofErr w:type="spellEnd"/>
            <w:r w:rsidRPr="005E39F4">
              <w:rPr>
                <w:rFonts w:eastAsia="Calibri"/>
                <w:i/>
                <w:iCs/>
              </w:rPr>
              <w:t xml:space="preserve"> </w:t>
            </w:r>
            <w:proofErr w:type="spellStart"/>
            <w:r w:rsidRPr="005E39F4">
              <w:rPr>
                <w:rFonts w:eastAsia="Calibri"/>
                <w:i/>
                <w:iCs/>
              </w:rPr>
              <w:t>Shlomo</w:t>
            </w:r>
            <w:proofErr w:type="spellEnd"/>
            <w:r w:rsidRPr="005E39F4">
              <w:rPr>
                <w:rFonts w:eastAsia="Calibri"/>
                <w:i/>
                <w:iCs/>
              </w:rPr>
              <w:t>,</w:t>
            </w:r>
            <w:r w:rsidRPr="005E39F4">
              <w:rPr>
                <w:rFonts w:eastAsia="Calibri"/>
              </w:rPr>
              <w:t xml:space="preserve"> </w:t>
            </w:r>
            <w:proofErr w:type="spellStart"/>
            <w:r w:rsidRPr="005E39F4">
              <w:rPr>
                <w:rFonts w:eastAsia="Calibri"/>
              </w:rPr>
              <w:t>vol</w:t>
            </w:r>
            <w:proofErr w:type="spellEnd"/>
            <w:r w:rsidRPr="005E39F4">
              <w:rPr>
                <w:rFonts w:eastAsia="Calibri"/>
              </w:rPr>
              <w:t xml:space="preserve"> I, </w:t>
            </w:r>
            <w:proofErr w:type="gramStart"/>
            <w:r w:rsidRPr="005E39F4">
              <w:rPr>
                <w:rFonts w:eastAsia="Calibri"/>
              </w:rPr>
              <w:t>87 ;Haim</w:t>
            </w:r>
            <w:proofErr w:type="gramEnd"/>
            <w:r w:rsidRPr="005E39F4">
              <w:rPr>
                <w:rFonts w:eastAsia="Calibri"/>
              </w:rPr>
              <w:t xml:space="preserve"> David </w:t>
            </w:r>
            <w:proofErr w:type="spellStart"/>
            <w:r w:rsidRPr="005E39F4">
              <w:rPr>
                <w:rFonts w:eastAsia="Calibri"/>
              </w:rPr>
              <w:t>Halevi</w:t>
            </w:r>
            <w:proofErr w:type="spellEnd"/>
            <w:r w:rsidRPr="005E39F4">
              <w:rPr>
                <w:rFonts w:eastAsia="Calibri"/>
              </w:rPr>
              <w:t xml:space="preserve">: </w:t>
            </w:r>
            <w:proofErr w:type="spellStart"/>
            <w:r w:rsidRPr="005E39F4">
              <w:rPr>
                <w:rFonts w:eastAsia="Calibri"/>
                <w:i/>
                <w:iCs/>
              </w:rPr>
              <w:t>Aaseh</w:t>
            </w:r>
            <w:proofErr w:type="spellEnd"/>
            <w:r w:rsidRPr="005E39F4">
              <w:rPr>
                <w:rFonts w:eastAsia="Calibri"/>
                <w:i/>
                <w:iCs/>
              </w:rPr>
              <w:t xml:space="preserve"> </w:t>
            </w:r>
            <w:proofErr w:type="spellStart"/>
            <w:r w:rsidRPr="005E39F4">
              <w:rPr>
                <w:rFonts w:eastAsia="Calibri"/>
                <w:i/>
                <w:iCs/>
              </w:rPr>
              <w:t>Lekhah</w:t>
            </w:r>
            <w:proofErr w:type="spellEnd"/>
            <w:r w:rsidRPr="005E39F4">
              <w:rPr>
                <w:rFonts w:eastAsia="Calibri"/>
                <w:i/>
                <w:iCs/>
              </w:rPr>
              <w:t xml:space="preserve"> </w:t>
            </w:r>
            <w:proofErr w:type="spellStart"/>
            <w:r w:rsidRPr="005E39F4">
              <w:rPr>
                <w:rFonts w:eastAsia="Calibri"/>
                <w:i/>
                <w:iCs/>
              </w:rPr>
              <w:t>Rav</w:t>
            </w:r>
            <w:proofErr w:type="spellEnd"/>
            <w:r w:rsidRPr="005E39F4">
              <w:rPr>
                <w:rFonts w:eastAsia="Calibri"/>
                <w:i/>
                <w:iCs/>
              </w:rPr>
              <w:t>,</w:t>
            </w:r>
            <w:r w:rsidRPr="005E39F4">
              <w:rPr>
                <w:rFonts w:eastAsia="Calibri"/>
              </w:rPr>
              <w:t xml:space="preserve"> </w:t>
            </w:r>
            <w:proofErr w:type="spellStart"/>
            <w:r w:rsidRPr="005E39F4">
              <w:rPr>
                <w:rFonts w:eastAsia="Calibri"/>
              </w:rPr>
              <w:t>vol</w:t>
            </w:r>
            <w:proofErr w:type="spellEnd"/>
            <w:r w:rsidRPr="005E39F4">
              <w:rPr>
                <w:rFonts w:eastAsia="Calibri"/>
              </w:rPr>
              <w:t xml:space="preserve"> V, 23.</w:t>
            </w:r>
          </w:p>
        </w:tc>
        <w:tc>
          <w:tcPr>
            <w:tcW w:w="2249" w:type="dxa"/>
            <w:shd w:val="clear" w:color="auto" w:fill="auto"/>
          </w:tcPr>
          <w:p w:rsidR="001D31E6" w:rsidRPr="005E39F4" w:rsidRDefault="001D31E6" w:rsidP="00BA7DBA">
            <w:pPr>
              <w:bidi w:val="0"/>
              <w:rPr>
                <w:b/>
                <w:bCs/>
              </w:rPr>
            </w:pPr>
            <w:r w:rsidRPr="005E39F4">
              <w:rPr>
                <w:b/>
                <w:bCs/>
              </w:rPr>
              <w:t>Teachers strike</w:t>
            </w:r>
          </w:p>
          <w:p w:rsidR="001D31E6" w:rsidRPr="005E39F4" w:rsidRDefault="001D31E6" w:rsidP="00BA7DBA">
            <w:pPr>
              <w:bidi w:val="0"/>
              <w:rPr>
                <w:b/>
                <w:bCs/>
              </w:rPr>
            </w:pPr>
          </w:p>
        </w:tc>
        <w:tc>
          <w:tcPr>
            <w:tcW w:w="931" w:type="dxa"/>
            <w:shd w:val="clear" w:color="auto" w:fill="auto"/>
          </w:tcPr>
          <w:p w:rsidR="001D31E6" w:rsidRPr="005E39F4" w:rsidRDefault="001D31E6" w:rsidP="00BA7DBA">
            <w:pPr>
              <w:bidi w:val="0"/>
              <w:spacing w:line="360" w:lineRule="auto"/>
            </w:pPr>
            <w:r w:rsidRPr="005E39F4">
              <w:t>13</w:t>
            </w:r>
          </w:p>
        </w:tc>
      </w:tr>
      <w:tr w:rsidR="001D31E6" w:rsidRPr="005E39F4" w:rsidTr="00BA7DBA">
        <w:tc>
          <w:tcPr>
            <w:tcW w:w="1630" w:type="dxa"/>
            <w:shd w:val="clear" w:color="auto" w:fill="auto"/>
          </w:tcPr>
          <w:p w:rsidR="001D31E6" w:rsidRPr="005E39F4" w:rsidRDefault="001D31E6" w:rsidP="00BA7DBA">
            <w:pPr>
              <w:bidi w:val="0"/>
            </w:pPr>
            <w:r w:rsidRPr="005E39F4">
              <w:t xml:space="preserve">Decision based on analogy from </w:t>
            </w:r>
            <w:proofErr w:type="spellStart"/>
            <w:r w:rsidRPr="005E39F4">
              <w:t>aggadah</w:t>
            </w:r>
            <w:proofErr w:type="spellEnd"/>
            <w:r w:rsidRPr="005E39F4">
              <w:t xml:space="preserve">. </w:t>
            </w:r>
          </w:p>
        </w:tc>
        <w:tc>
          <w:tcPr>
            <w:tcW w:w="6620" w:type="dxa"/>
            <w:shd w:val="clear" w:color="auto" w:fill="auto"/>
          </w:tcPr>
          <w:p w:rsidR="001D31E6" w:rsidRPr="005E39F4" w:rsidRDefault="001D31E6" w:rsidP="00BA7DBA">
            <w:pPr>
              <w:keepNext/>
              <w:keepLines/>
              <w:bidi w:val="0"/>
              <w:spacing w:before="40"/>
              <w:outlineLvl w:val="2"/>
              <w:rPr>
                <w:rFonts w:eastAsia="Calibri"/>
              </w:rPr>
            </w:pPr>
            <w:proofErr w:type="spellStart"/>
            <w:r w:rsidRPr="005E39F4">
              <w:rPr>
                <w:rFonts w:eastAsia="Calibri" w:cs="David"/>
                <w:i/>
                <w:iCs/>
              </w:rPr>
              <w:t>Igrot</w:t>
            </w:r>
            <w:proofErr w:type="spellEnd"/>
            <w:r w:rsidRPr="005E39F4">
              <w:rPr>
                <w:rFonts w:eastAsia="Calibri" w:cs="David"/>
                <w:i/>
                <w:iCs/>
              </w:rPr>
              <w:t xml:space="preserve"> Moshe,</w:t>
            </w:r>
            <w:r w:rsidRPr="005E39F4">
              <w:rPr>
                <w:rFonts w:eastAsia="Calibri" w:cs="David"/>
              </w:rPr>
              <w:t xml:space="preserve"> </w:t>
            </w:r>
            <w:proofErr w:type="spellStart"/>
            <w:r w:rsidRPr="005E39F4">
              <w:rPr>
                <w:rFonts w:eastAsia="Calibri" w:cs="David"/>
              </w:rPr>
              <w:t>Hoshen</w:t>
            </w:r>
            <w:proofErr w:type="spellEnd"/>
            <w:r w:rsidRPr="005E39F4">
              <w:rPr>
                <w:rFonts w:eastAsia="Calibri" w:cs="David"/>
              </w:rPr>
              <w:t xml:space="preserve"> </w:t>
            </w:r>
            <w:proofErr w:type="spellStart"/>
            <w:r w:rsidRPr="005E39F4">
              <w:rPr>
                <w:rFonts w:eastAsia="Calibri" w:cs="David"/>
              </w:rPr>
              <w:t>Mishpat</w:t>
            </w:r>
            <w:proofErr w:type="spellEnd"/>
            <w:r w:rsidRPr="005E39F4">
              <w:rPr>
                <w:rFonts w:eastAsia="Calibri" w:cs="David"/>
              </w:rPr>
              <w:t xml:space="preserve">, </w:t>
            </w:r>
            <w:proofErr w:type="spellStart"/>
            <w:r w:rsidRPr="005E39F4">
              <w:rPr>
                <w:rFonts w:eastAsia="Calibri" w:cs="David"/>
              </w:rPr>
              <w:t>vol</w:t>
            </w:r>
            <w:proofErr w:type="spellEnd"/>
            <w:r w:rsidRPr="005E39F4">
              <w:rPr>
                <w:rFonts w:eastAsia="Calibri" w:cs="David"/>
              </w:rPr>
              <w:t xml:space="preserve"> I, 49</w:t>
            </w:r>
          </w:p>
        </w:tc>
        <w:tc>
          <w:tcPr>
            <w:tcW w:w="2249" w:type="dxa"/>
            <w:shd w:val="clear" w:color="auto" w:fill="auto"/>
          </w:tcPr>
          <w:p w:rsidR="001D31E6" w:rsidRPr="005E39F4" w:rsidRDefault="001D31E6" w:rsidP="00BA7DBA">
            <w:pPr>
              <w:bidi w:val="0"/>
              <w:rPr>
                <w:b/>
                <w:bCs/>
              </w:rPr>
            </w:pPr>
            <w:r w:rsidRPr="005E39F4">
              <w:rPr>
                <w:b/>
                <w:bCs/>
              </w:rPr>
              <w:t>Payment to real estate agent who did not end the deal</w:t>
            </w:r>
          </w:p>
        </w:tc>
        <w:tc>
          <w:tcPr>
            <w:tcW w:w="931" w:type="dxa"/>
            <w:shd w:val="clear" w:color="auto" w:fill="auto"/>
          </w:tcPr>
          <w:p w:rsidR="001D31E6" w:rsidRPr="005E39F4" w:rsidRDefault="001D31E6" w:rsidP="00BA7DBA">
            <w:pPr>
              <w:bidi w:val="0"/>
              <w:spacing w:line="360" w:lineRule="auto"/>
            </w:pPr>
            <w:r w:rsidRPr="005E39F4">
              <w:t>14</w:t>
            </w:r>
          </w:p>
        </w:tc>
      </w:tr>
    </w:tbl>
    <w:p w:rsidR="001D31E6" w:rsidRDefault="001D31E6" w:rsidP="001D31E6">
      <w:pPr>
        <w:bidi w:val="0"/>
        <w:ind w:left="26"/>
        <w:rPr>
          <w:rFonts w:ascii="Arial" w:hAnsi="Arial" w:cs="Arial"/>
          <w:b/>
          <w:bCs/>
          <w:sz w:val="26"/>
          <w:szCs w:val="26"/>
        </w:rPr>
      </w:pPr>
    </w:p>
    <w:p w:rsidR="001D31E6" w:rsidRDefault="001D31E6" w:rsidP="001D31E6">
      <w:pPr>
        <w:bidi w:val="0"/>
        <w:ind w:left="26"/>
        <w:rPr>
          <w:rFonts w:ascii="Arial" w:hAnsi="Arial" w:cs="Arial"/>
          <w:b/>
          <w:bCs/>
          <w:sz w:val="26"/>
          <w:szCs w:val="26"/>
        </w:rPr>
      </w:pPr>
      <w:r>
        <w:rPr>
          <w:rFonts w:ascii="Arial" w:hAnsi="Arial" w:cs="Arial"/>
          <w:b/>
          <w:bCs/>
          <w:sz w:val="26"/>
          <w:szCs w:val="26"/>
        </w:rPr>
        <w:lastRenderedPageBreak/>
        <w:t>Bibliography:</w:t>
      </w:r>
    </w:p>
    <w:p w:rsidR="001D31E6" w:rsidRDefault="001D31E6" w:rsidP="001D31E6">
      <w:pPr>
        <w:bidi w:val="0"/>
        <w:spacing w:line="360" w:lineRule="auto"/>
        <w:ind w:left="26" w:firstLine="694"/>
        <w:rPr>
          <w:rFonts w:ascii="Arial" w:hAnsi="Arial" w:cs="Arial"/>
          <w:sz w:val="26"/>
          <w:szCs w:val="26"/>
        </w:rPr>
      </w:pPr>
      <w:r w:rsidRPr="00F211D5">
        <w:rPr>
          <w:rFonts w:ascii="Arial" w:hAnsi="Arial" w:cs="Arial"/>
          <w:sz w:val="26"/>
          <w:szCs w:val="26"/>
        </w:rPr>
        <w:t xml:space="preserve">Alexander, Larry and Emily Sherwin, </w:t>
      </w:r>
      <w:r w:rsidRPr="00F211D5">
        <w:rPr>
          <w:rFonts w:ascii="Arial" w:hAnsi="Arial" w:cs="Arial"/>
          <w:i/>
          <w:iCs/>
          <w:sz w:val="26"/>
          <w:szCs w:val="26"/>
        </w:rPr>
        <w:t>Demystifying Legal Reasoning</w:t>
      </w:r>
      <w:r w:rsidRPr="00F211D5">
        <w:rPr>
          <w:rFonts w:ascii="Arial" w:hAnsi="Arial" w:cs="Arial"/>
          <w:sz w:val="26"/>
          <w:szCs w:val="26"/>
        </w:rPr>
        <w:t>, Cambridge: Cambridge University Press, 2008. 1- 30.</w:t>
      </w:r>
    </w:p>
    <w:p w:rsidR="001D31E6" w:rsidRDefault="001D31E6" w:rsidP="001D31E6">
      <w:pPr>
        <w:bidi w:val="0"/>
        <w:spacing w:line="360" w:lineRule="auto"/>
        <w:ind w:firstLine="720"/>
        <w:rPr>
          <w:rFonts w:ascii="Arial" w:hAnsi="Arial" w:cs="Arial"/>
          <w:sz w:val="26"/>
          <w:szCs w:val="26"/>
        </w:rPr>
      </w:pPr>
      <w:proofErr w:type="spellStart"/>
      <w:r w:rsidRPr="00F211D5">
        <w:rPr>
          <w:rFonts w:ascii="Arial" w:hAnsi="Arial" w:cs="Arial"/>
          <w:sz w:val="26"/>
          <w:szCs w:val="26"/>
        </w:rPr>
        <w:t>Broyde</w:t>
      </w:r>
      <w:proofErr w:type="spellEnd"/>
      <w:r>
        <w:rPr>
          <w:rFonts w:ascii="Arial" w:hAnsi="Arial" w:cs="Arial"/>
          <w:sz w:val="26"/>
          <w:szCs w:val="26"/>
        </w:rPr>
        <w:t>,</w:t>
      </w:r>
      <w:r w:rsidRPr="00F211D5">
        <w:rPr>
          <w:rFonts w:ascii="Arial" w:hAnsi="Arial" w:cs="Arial"/>
          <w:sz w:val="26"/>
          <w:szCs w:val="26"/>
        </w:rPr>
        <w:t xml:space="preserve"> Michael and Stephan H. </w:t>
      </w:r>
      <w:proofErr w:type="spellStart"/>
      <w:r w:rsidRPr="00F211D5">
        <w:rPr>
          <w:rFonts w:ascii="Arial" w:hAnsi="Arial" w:cs="Arial"/>
          <w:sz w:val="26"/>
          <w:szCs w:val="26"/>
        </w:rPr>
        <w:t>Resnicoff</w:t>
      </w:r>
      <w:proofErr w:type="spellEnd"/>
      <w:r w:rsidRPr="00F211D5">
        <w:rPr>
          <w:rFonts w:ascii="Arial" w:hAnsi="Arial" w:cs="Arial"/>
          <w:sz w:val="26"/>
          <w:szCs w:val="26"/>
        </w:rPr>
        <w:t xml:space="preserve">, "Jewish Law &amp; Modern Business Structures: A Corporate Paradigm," </w:t>
      </w:r>
      <w:r w:rsidRPr="00F211D5">
        <w:rPr>
          <w:rFonts w:ascii="Arial" w:hAnsi="Arial" w:cs="Arial"/>
          <w:i/>
          <w:iCs/>
          <w:sz w:val="26"/>
          <w:szCs w:val="26"/>
        </w:rPr>
        <w:t xml:space="preserve">The Wayne Law Review; </w:t>
      </w:r>
      <w:proofErr w:type="gramStart"/>
      <w:r w:rsidRPr="00F211D5">
        <w:rPr>
          <w:rFonts w:ascii="Arial" w:hAnsi="Arial" w:cs="Arial"/>
          <w:i/>
          <w:iCs/>
          <w:sz w:val="26"/>
          <w:szCs w:val="26"/>
        </w:rPr>
        <w:t>Fall</w:t>
      </w:r>
      <w:proofErr w:type="gramEnd"/>
      <w:r w:rsidRPr="00F211D5">
        <w:rPr>
          <w:rFonts w:ascii="Arial" w:hAnsi="Arial" w:cs="Arial"/>
          <w:i/>
          <w:iCs/>
          <w:sz w:val="26"/>
          <w:szCs w:val="26"/>
        </w:rPr>
        <w:t>, 1997; 43 Wayne L. Rev. 1685</w:t>
      </w:r>
      <w:r>
        <w:rPr>
          <w:rFonts w:ascii="Arial" w:hAnsi="Arial" w:cs="Arial"/>
          <w:sz w:val="26"/>
          <w:szCs w:val="26"/>
        </w:rPr>
        <w:t>.</w:t>
      </w:r>
    </w:p>
    <w:p w:rsidR="001D31E6" w:rsidRDefault="001D31E6" w:rsidP="001D31E6">
      <w:pPr>
        <w:bidi w:val="0"/>
        <w:spacing w:line="360" w:lineRule="auto"/>
        <w:ind w:left="26" w:firstLine="694"/>
        <w:rPr>
          <w:rFonts w:ascii="Arial" w:hAnsi="Arial" w:cs="Arial"/>
          <w:sz w:val="26"/>
          <w:szCs w:val="26"/>
        </w:rPr>
      </w:pPr>
      <w:r w:rsidRPr="00F211D5">
        <w:rPr>
          <w:rFonts w:ascii="Arial" w:hAnsi="Arial" w:cs="Arial"/>
          <w:sz w:val="26"/>
          <w:szCs w:val="26"/>
        </w:rPr>
        <w:t>Cardozo,</w:t>
      </w:r>
      <w:r>
        <w:rPr>
          <w:rFonts w:ascii="Arial" w:hAnsi="Arial" w:cs="Arial"/>
          <w:sz w:val="26"/>
          <w:szCs w:val="26"/>
        </w:rPr>
        <w:t xml:space="preserve"> </w:t>
      </w:r>
      <w:r w:rsidRPr="00F211D5">
        <w:rPr>
          <w:rFonts w:ascii="Arial" w:hAnsi="Arial" w:cs="Arial"/>
          <w:sz w:val="26"/>
          <w:szCs w:val="26"/>
        </w:rPr>
        <w:t>Benjamin N.</w:t>
      </w:r>
      <w:r>
        <w:rPr>
          <w:rFonts w:ascii="Arial" w:hAnsi="Arial" w:cs="Arial"/>
          <w:sz w:val="26"/>
          <w:szCs w:val="26"/>
        </w:rPr>
        <w:t>,</w:t>
      </w:r>
      <w:r w:rsidRPr="00F211D5">
        <w:rPr>
          <w:rFonts w:ascii="Arial" w:hAnsi="Arial" w:cs="Arial"/>
          <w:sz w:val="26"/>
          <w:szCs w:val="26"/>
        </w:rPr>
        <w:t xml:space="preserve"> "The Nature of the Judicial Process,"</w:t>
      </w:r>
      <w:r w:rsidRPr="00F211D5">
        <w:rPr>
          <w:rFonts w:ascii="Arial" w:hAnsi="Arial" w:cs="Arial"/>
          <w:i/>
          <w:iCs/>
          <w:sz w:val="26"/>
          <w:szCs w:val="26"/>
        </w:rPr>
        <w:t xml:space="preserve"> </w:t>
      </w:r>
      <w:r w:rsidRPr="00F211D5">
        <w:rPr>
          <w:rFonts w:ascii="Arial" w:hAnsi="Arial" w:cs="Arial"/>
          <w:sz w:val="26"/>
          <w:szCs w:val="26"/>
        </w:rPr>
        <w:t>Yale University Press, pp. 132-133</w:t>
      </w:r>
      <w:r>
        <w:rPr>
          <w:rFonts w:ascii="Arial" w:hAnsi="Arial" w:cs="Arial"/>
          <w:sz w:val="26"/>
          <w:szCs w:val="26"/>
        </w:rPr>
        <w:t>.</w:t>
      </w:r>
    </w:p>
    <w:p w:rsidR="001D31E6" w:rsidRDefault="001D31E6" w:rsidP="001D31E6">
      <w:pPr>
        <w:bidi w:val="0"/>
        <w:spacing w:line="360" w:lineRule="auto"/>
        <w:ind w:left="26" w:firstLine="694"/>
        <w:rPr>
          <w:rFonts w:ascii="Arial" w:hAnsi="Arial" w:cs="Arial"/>
        </w:rPr>
      </w:pPr>
      <w:r w:rsidRPr="00F211D5">
        <w:rPr>
          <w:rFonts w:ascii="Arial" w:hAnsi="Arial" w:cs="Arial"/>
        </w:rPr>
        <w:t>Dworkin, Ronald</w:t>
      </w:r>
      <w:r>
        <w:rPr>
          <w:rFonts w:ascii="Arial" w:hAnsi="Arial" w:cs="Arial"/>
        </w:rPr>
        <w:t>,</w:t>
      </w:r>
      <w:r w:rsidRPr="00F211D5">
        <w:rPr>
          <w:rFonts w:ascii="Arial" w:hAnsi="Arial" w:cs="Arial"/>
        </w:rPr>
        <w:t xml:space="preserve"> "Hard Cases," Harva</w:t>
      </w:r>
      <w:r>
        <w:rPr>
          <w:rFonts w:ascii="Arial" w:hAnsi="Arial" w:cs="Arial"/>
        </w:rPr>
        <w:t>rd Law Review, 88, 1057, 1975.</w:t>
      </w:r>
    </w:p>
    <w:p w:rsidR="001D31E6" w:rsidRDefault="001D31E6" w:rsidP="001D31E6">
      <w:pPr>
        <w:bidi w:val="0"/>
        <w:spacing w:line="360" w:lineRule="auto"/>
        <w:ind w:left="26" w:firstLine="694"/>
        <w:rPr>
          <w:rFonts w:ascii="Arial" w:hAnsi="Arial" w:cs="Arial"/>
        </w:rPr>
      </w:pPr>
      <w:r w:rsidRPr="00B0178F">
        <w:rPr>
          <w:rFonts w:ascii="Arial" w:hAnsi="Arial" w:cs="Arial"/>
        </w:rPr>
        <w:t xml:space="preserve">Farrar, John H. "Reasoning by Analogy in the Law," 9 </w:t>
      </w:r>
      <w:r w:rsidRPr="00B0178F">
        <w:rPr>
          <w:rFonts w:ascii="Arial" w:hAnsi="Arial" w:cs="Arial"/>
          <w:i/>
          <w:iCs/>
        </w:rPr>
        <w:t>Bond Law Review</w:t>
      </w:r>
      <w:r w:rsidRPr="00B0178F">
        <w:rPr>
          <w:rFonts w:ascii="Arial" w:hAnsi="Arial" w:cs="Arial"/>
        </w:rPr>
        <w:t xml:space="preserve">, 2, </w:t>
      </w:r>
      <w:r>
        <w:rPr>
          <w:rFonts w:ascii="Arial" w:hAnsi="Arial" w:cs="Arial"/>
        </w:rPr>
        <w:t>zzz</w:t>
      </w:r>
      <w:r w:rsidRPr="00B0178F">
        <w:rPr>
          <w:rFonts w:ascii="Arial" w:hAnsi="Arial" w:cs="Arial"/>
        </w:rPr>
        <w:t>1997, pp. 149-17;</w:t>
      </w:r>
    </w:p>
    <w:p w:rsidR="001D31E6" w:rsidRPr="003F625C" w:rsidRDefault="001D31E6" w:rsidP="001D31E6">
      <w:pPr>
        <w:bidi w:val="0"/>
        <w:spacing w:line="360" w:lineRule="auto"/>
        <w:ind w:left="26" w:firstLine="694"/>
        <w:rPr>
          <w:rFonts w:ascii="Arial" w:hAnsi="Arial" w:cs="Arial"/>
        </w:rPr>
      </w:pPr>
      <w:r>
        <w:rPr>
          <w:rFonts w:ascii="Arial" w:hAnsi="Arial" w:cs="Arial"/>
        </w:rPr>
        <w:t xml:space="preserve">Feinstein, Moshe, </w:t>
      </w:r>
      <w:proofErr w:type="spellStart"/>
      <w:r w:rsidRPr="003F625C">
        <w:rPr>
          <w:rFonts w:ascii="Arial" w:hAnsi="Arial" w:cs="Arial"/>
        </w:rPr>
        <w:t>Igrot</w:t>
      </w:r>
      <w:proofErr w:type="spellEnd"/>
      <w:r w:rsidRPr="003F625C">
        <w:rPr>
          <w:rFonts w:ascii="Arial" w:hAnsi="Arial" w:cs="Arial"/>
        </w:rPr>
        <w:t xml:space="preserve"> Moshe, </w:t>
      </w:r>
      <w:proofErr w:type="spellStart"/>
      <w:r w:rsidRPr="003F625C">
        <w:rPr>
          <w:rFonts w:ascii="Arial" w:hAnsi="Arial" w:cs="Arial"/>
        </w:rPr>
        <w:t>vol</w:t>
      </w:r>
      <w:proofErr w:type="spellEnd"/>
      <w:r w:rsidRPr="003F625C">
        <w:rPr>
          <w:rFonts w:ascii="Arial" w:hAnsi="Arial" w:cs="Arial"/>
        </w:rPr>
        <w:t xml:space="preserve"> I, Introduction</w:t>
      </w:r>
      <w:proofErr w:type="gramStart"/>
      <w:r w:rsidRPr="003F625C">
        <w:rPr>
          <w:rFonts w:ascii="Arial" w:hAnsi="Arial" w:cs="Arial"/>
        </w:rPr>
        <w:t>.</w:t>
      </w:r>
      <w:r>
        <w:rPr>
          <w:rFonts w:ascii="Arial" w:hAnsi="Arial" w:cs="Arial"/>
        </w:rPr>
        <w:t>(</w:t>
      </w:r>
      <w:proofErr w:type="gramEnd"/>
      <w:r>
        <w:rPr>
          <w:rFonts w:ascii="Arial" w:hAnsi="Arial" w:cs="Arial"/>
        </w:rPr>
        <w:t>Hebrew)</w:t>
      </w:r>
    </w:p>
    <w:p w:rsidR="001D31E6" w:rsidRDefault="001D31E6" w:rsidP="001D31E6">
      <w:pPr>
        <w:bidi w:val="0"/>
        <w:spacing w:line="360" w:lineRule="auto"/>
        <w:ind w:left="26" w:firstLine="694"/>
        <w:rPr>
          <w:rFonts w:ascii="Arial" w:hAnsi="Arial" w:cs="Arial"/>
        </w:rPr>
      </w:pPr>
      <w:r w:rsidRPr="00B0178F">
        <w:rPr>
          <w:rFonts w:ascii="Arial" w:hAnsi="Arial" w:cs="Arial"/>
        </w:rPr>
        <w:t>Posne</w:t>
      </w:r>
      <w:r>
        <w:rPr>
          <w:rFonts w:ascii="Arial" w:hAnsi="Arial" w:cs="Arial"/>
        </w:rPr>
        <w:t>r, Richard</w:t>
      </w:r>
      <w:r w:rsidRPr="00B0178F">
        <w:rPr>
          <w:rFonts w:ascii="Arial" w:hAnsi="Arial" w:cs="Arial"/>
        </w:rPr>
        <w:t xml:space="preserve">, </w:t>
      </w:r>
      <w:proofErr w:type="gramStart"/>
      <w:r w:rsidRPr="00B0178F">
        <w:rPr>
          <w:rFonts w:ascii="Arial" w:hAnsi="Arial" w:cs="Arial"/>
          <w:i/>
          <w:iCs/>
        </w:rPr>
        <w:t>The</w:t>
      </w:r>
      <w:proofErr w:type="gramEnd"/>
      <w:r w:rsidRPr="00B0178F">
        <w:rPr>
          <w:rFonts w:ascii="Arial" w:hAnsi="Arial" w:cs="Arial"/>
          <w:i/>
          <w:iCs/>
        </w:rPr>
        <w:t xml:space="preserve"> Problems of Jurisprudence</w:t>
      </w:r>
      <w:r w:rsidRPr="00B0178F">
        <w:rPr>
          <w:rFonts w:ascii="Arial" w:hAnsi="Arial" w:cs="Arial"/>
        </w:rPr>
        <w:t>; New England, Harvard University, 1990;</w:t>
      </w:r>
    </w:p>
    <w:p w:rsidR="001D31E6" w:rsidRPr="00F211D5" w:rsidRDefault="001D31E6" w:rsidP="001D31E6">
      <w:pPr>
        <w:bidi w:val="0"/>
        <w:spacing w:line="360" w:lineRule="auto"/>
        <w:ind w:left="26" w:firstLine="694"/>
        <w:rPr>
          <w:rFonts w:ascii="Arial" w:hAnsi="Arial" w:cs="Arial"/>
          <w:rtl/>
        </w:rPr>
      </w:pPr>
      <w:r w:rsidRPr="00B0178F">
        <w:rPr>
          <w:rFonts w:ascii="Arial" w:hAnsi="Arial" w:cs="Arial"/>
        </w:rPr>
        <w:t xml:space="preserve">Hayes, Christine, "Legal Truth, Right Answers and Best Answers: Dworkin and the Rabbis," </w:t>
      </w:r>
      <w:r w:rsidRPr="00B0178F">
        <w:rPr>
          <w:rFonts w:ascii="Arial" w:hAnsi="Arial" w:cs="Arial"/>
          <w:i/>
          <w:iCs/>
        </w:rPr>
        <w:t xml:space="preserve">Dine Israel, </w:t>
      </w:r>
      <w:proofErr w:type="spellStart"/>
      <w:r w:rsidRPr="00B0178F">
        <w:rPr>
          <w:rFonts w:ascii="Arial" w:hAnsi="Arial" w:cs="Arial"/>
          <w:i/>
          <w:iCs/>
        </w:rPr>
        <w:t>vol</w:t>
      </w:r>
      <w:proofErr w:type="spellEnd"/>
      <w:r w:rsidRPr="00B0178F">
        <w:rPr>
          <w:rFonts w:ascii="Arial" w:hAnsi="Arial" w:cs="Arial"/>
          <w:i/>
          <w:iCs/>
        </w:rPr>
        <w:t xml:space="preserve"> 25</w:t>
      </w:r>
      <w:r>
        <w:rPr>
          <w:rFonts w:ascii="Arial" w:hAnsi="Arial" w:cs="Arial"/>
        </w:rPr>
        <w:t>, 2008, pp. 73-122.</w:t>
      </w:r>
    </w:p>
    <w:p w:rsidR="001D31E6" w:rsidRPr="00F211D5" w:rsidRDefault="001D31E6" w:rsidP="001D31E6">
      <w:pPr>
        <w:bidi w:val="0"/>
        <w:spacing w:line="360" w:lineRule="auto"/>
        <w:ind w:left="26" w:firstLine="694"/>
        <w:rPr>
          <w:rFonts w:ascii="Arial" w:hAnsi="Arial" w:cs="Arial"/>
        </w:rPr>
      </w:pPr>
      <w:r w:rsidRPr="00F211D5">
        <w:rPr>
          <w:rFonts w:ascii="Arial" w:hAnsi="Arial" w:cs="Arial"/>
        </w:rPr>
        <w:t>Holmes</w:t>
      </w:r>
      <w:r>
        <w:rPr>
          <w:rFonts w:ascii="Arial" w:hAnsi="Arial" w:cs="Arial"/>
        </w:rPr>
        <w:t>,</w:t>
      </w:r>
      <w:r w:rsidRPr="00F211D5">
        <w:rPr>
          <w:rFonts w:ascii="Arial" w:hAnsi="Arial" w:cs="Arial"/>
        </w:rPr>
        <w:t xml:space="preserve"> Oliver Wendell, "The Path of the Law," 10</w:t>
      </w:r>
      <w:r w:rsidRPr="00F211D5">
        <w:rPr>
          <w:rFonts w:ascii="Arial" w:hAnsi="Arial" w:cs="Arial"/>
          <w:i/>
          <w:iCs/>
        </w:rPr>
        <w:t xml:space="preserve"> Harvard Law Review</w:t>
      </w:r>
      <w:r w:rsidRPr="00F211D5">
        <w:rPr>
          <w:rFonts w:ascii="Arial" w:hAnsi="Arial" w:cs="Arial"/>
        </w:rPr>
        <w:t>, 457, 1897</w:t>
      </w:r>
      <w:r>
        <w:rPr>
          <w:rFonts w:ascii="Arial" w:hAnsi="Arial" w:cs="Arial"/>
        </w:rPr>
        <w:t>.</w:t>
      </w:r>
    </w:p>
    <w:p w:rsidR="001D31E6" w:rsidRDefault="001D31E6" w:rsidP="001D31E6">
      <w:pPr>
        <w:bidi w:val="0"/>
        <w:spacing w:line="360" w:lineRule="auto"/>
        <w:ind w:left="26" w:firstLine="694"/>
        <w:rPr>
          <w:rFonts w:ascii="Arial" w:hAnsi="Arial" w:cs="Arial"/>
        </w:rPr>
      </w:pPr>
      <w:proofErr w:type="gramStart"/>
      <w:r w:rsidRPr="00F211D5">
        <w:rPr>
          <w:rFonts w:ascii="Arial" w:hAnsi="Arial" w:cs="Arial"/>
        </w:rPr>
        <w:t>Jackson</w:t>
      </w:r>
      <w:r>
        <w:rPr>
          <w:rFonts w:ascii="Arial" w:hAnsi="Arial" w:cs="Arial"/>
        </w:rPr>
        <w:t>,</w:t>
      </w:r>
      <w:r w:rsidRPr="00F211D5">
        <w:rPr>
          <w:rFonts w:ascii="Arial" w:hAnsi="Arial" w:cs="Arial"/>
        </w:rPr>
        <w:t xml:space="preserve"> Bernard S., "Judaism as a Religious Legal System," </w:t>
      </w:r>
      <w:r w:rsidRPr="00F211D5">
        <w:rPr>
          <w:rFonts w:ascii="Arial" w:hAnsi="Arial" w:cs="Arial"/>
          <w:i/>
          <w:iCs/>
        </w:rPr>
        <w:t>Religion, Law and Tradition – Comparative Studies in Religious Law</w:t>
      </w:r>
      <w:r w:rsidRPr="00F211D5">
        <w:rPr>
          <w:rFonts w:ascii="Arial" w:hAnsi="Arial" w:cs="Arial"/>
        </w:rPr>
        <w:t>.</w:t>
      </w:r>
      <w:proofErr w:type="gramEnd"/>
      <w:r w:rsidRPr="00F211D5">
        <w:rPr>
          <w:rFonts w:ascii="Arial" w:hAnsi="Arial" w:cs="Arial"/>
        </w:rPr>
        <w:t xml:space="preserve"> pp. 34-48.</w:t>
      </w:r>
    </w:p>
    <w:p w:rsidR="001D31E6" w:rsidRDefault="001D31E6" w:rsidP="001D31E6">
      <w:pPr>
        <w:bidi w:val="0"/>
        <w:spacing w:line="360" w:lineRule="auto"/>
        <w:ind w:left="26" w:firstLine="694"/>
        <w:rPr>
          <w:rFonts w:ascii="Arial" w:hAnsi="Arial" w:cs="Arial"/>
        </w:rPr>
      </w:pPr>
      <w:r w:rsidRPr="003F625C">
        <w:rPr>
          <w:rFonts w:ascii="Arial" w:hAnsi="Arial" w:cs="Arial"/>
        </w:rPr>
        <w:t xml:space="preserve">Posner, Richard, </w:t>
      </w:r>
      <w:proofErr w:type="gramStart"/>
      <w:r w:rsidRPr="003F625C">
        <w:rPr>
          <w:rFonts w:ascii="Arial" w:hAnsi="Arial" w:cs="Arial"/>
          <w:i/>
          <w:iCs/>
        </w:rPr>
        <w:t>The</w:t>
      </w:r>
      <w:proofErr w:type="gramEnd"/>
      <w:r w:rsidRPr="003F625C">
        <w:rPr>
          <w:rFonts w:ascii="Arial" w:hAnsi="Arial" w:cs="Arial"/>
          <w:i/>
          <w:iCs/>
        </w:rPr>
        <w:t xml:space="preserve"> Problems of Jurisprudence</w:t>
      </w:r>
      <w:r w:rsidRPr="003F625C">
        <w:rPr>
          <w:rFonts w:ascii="Arial" w:hAnsi="Arial" w:cs="Arial"/>
        </w:rPr>
        <w:t>; New En</w:t>
      </w:r>
      <w:r>
        <w:rPr>
          <w:rFonts w:ascii="Arial" w:hAnsi="Arial" w:cs="Arial"/>
        </w:rPr>
        <w:t>gland, Harvard University, 1990.</w:t>
      </w:r>
    </w:p>
    <w:p w:rsidR="001D31E6" w:rsidRPr="00F211D5" w:rsidRDefault="001D31E6" w:rsidP="001D31E6">
      <w:pPr>
        <w:bidi w:val="0"/>
        <w:spacing w:line="360" w:lineRule="auto"/>
        <w:ind w:left="26" w:firstLine="694"/>
        <w:rPr>
          <w:rFonts w:ascii="Arial" w:hAnsi="Arial" w:cs="Arial"/>
        </w:rPr>
      </w:pPr>
      <w:proofErr w:type="spellStart"/>
      <w:r w:rsidRPr="00F211D5">
        <w:rPr>
          <w:rFonts w:ascii="Arial" w:hAnsi="Arial" w:cs="Arial"/>
        </w:rPr>
        <w:t>Washofsky</w:t>
      </w:r>
      <w:proofErr w:type="spellEnd"/>
      <w:r>
        <w:rPr>
          <w:rFonts w:ascii="Arial" w:hAnsi="Arial" w:cs="Arial"/>
        </w:rPr>
        <w:t>,</w:t>
      </w:r>
      <w:r w:rsidRPr="00F211D5">
        <w:rPr>
          <w:rFonts w:ascii="Arial" w:hAnsi="Arial" w:cs="Arial"/>
        </w:rPr>
        <w:t xml:space="preserve"> Mark, "</w:t>
      </w:r>
      <w:proofErr w:type="spellStart"/>
      <w:r w:rsidRPr="00F211D5">
        <w:rPr>
          <w:rFonts w:ascii="Arial" w:hAnsi="Arial" w:cs="Arial"/>
        </w:rPr>
        <w:t>Responsa</w:t>
      </w:r>
      <w:proofErr w:type="spellEnd"/>
      <w:r w:rsidRPr="00F211D5">
        <w:rPr>
          <w:rFonts w:ascii="Arial" w:hAnsi="Arial" w:cs="Arial"/>
        </w:rPr>
        <w:t xml:space="preserve"> and the Art of Writing – Three Examples from the </w:t>
      </w:r>
      <w:proofErr w:type="spellStart"/>
      <w:r w:rsidRPr="00F211D5">
        <w:rPr>
          <w:rFonts w:ascii="Arial" w:hAnsi="Arial" w:cs="Arial"/>
        </w:rPr>
        <w:t>Teshuvot</w:t>
      </w:r>
      <w:proofErr w:type="spellEnd"/>
      <w:r w:rsidRPr="00F211D5">
        <w:rPr>
          <w:rFonts w:ascii="Arial" w:hAnsi="Arial" w:cs="Arial"/>
        </w:rPr>
        <w:t xml:space="preserve"> of Rabbi Moshe Feinstein," </w:t>
      </w:r>
      <w:r w:rsidRPr="00F211D5">
        <w:rPr>
          <w:rFonts w:ascii="Arial" w:hAnsi="Arial" w:cs="Arial"/>
          <w:i/>
          <w:iCs/>
        </w:rPr>
        <w:t>An American Rabbinate: A Festschrift for Walter Jacob</w:t>
      </w:r>
      <w:r w:rsidRPr="00F211D5">
        <w:rPr>
          <w:rFonts w:ascii="Arial" w:hAnsi="Arial" w:cs="Arial"/>
        </w:rPr>
        <w:t xml:space="preserve">, Pittsburgh: </w:t>
      </w:r>
      <w:proofErr w:type="spellStart"/>
      <w:r w:rsidRPr="00F211D5">
        <w:rPr>
          <w:rFonts w:ascii="Arial" w:hAnsi="Arial" w:cs="Arial"/>
        </w:rPr>
        <w:t>Rodef</w:t>
      </w:r>
      <w:proofErr w:type="spellEnd"/>
      <w:r w:rsidRPr="00F211D5">
        <w:rPr>
          <w:rFonts w:ascii="Arial" w:hAnsi="Arial" w:cs="Arial"/>
        </w:rPr>
        <w:t xml:space="preserve"> Shalom Press, 2001, pp. 149-204.</w:t>
      </w:r>
    </w:p>
    <w:p w:rsidR="001D31E6" w:rsidRDefault="001D31E6" w:rsidP="001D31E6">
      <w:pPr>
        <w:bidi w:val="0"/>
      </w:pPr>
    </w:p>
    <w:p w:rsidR="001D31E6" w:rsidRPr="00CD6781" w:rsidRDefault="001D31E6" w:rsidP="001D31E6"/>
    <w:p w:rsidR="001D31E6" w:rsidRDefault="001D31E6" w:rsidP="001D31E6"/>
    <w:p w:rsidR="001D31E6" w:rsidRDefault="001D31E6" w:rsidP="001D31E6"/>
    <w:p w:rsidR="001D31E6" w:rsidRDefault="001D31E6" w:rsidP="001D31E6"/>
    <w:p w:rsidR="00D173BC" w:rsidRDefault="001D31E6"/>
    <w:sectPr w:rsidR="00D173BC" w:rsidSect="00292B26">
      <w:headerReference w:type="default" r:id="rId11"/>
      <w:footerReference w:type="default" r:id="rId1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1D31E6"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1D31E6" w:rsidP="00292B26">
    <w:pPr>
      <w:pStyle w:val="a3"/>
      <w:jc w:val="center"/>
      <w:rPr>
        <w:color w:val="333333"/>
        <w:rtl/>
      </w:rPr>
    </w:pPr>
  </w:p>
  <w:p w:rsidR="00292B26" w:rsidRPr="006F3984" w:rsidRDefault="001D31E6"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E6"/>
    <w:rsid w:val="001D31E6"/>
    <w:rsid w:val="00337320"/>
    <w:rsid w:val="00530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E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1E6"/>
    <w:pPr>
      <w:tabs>
        <w:tab w:val="center" w:pos="4153"/>
        <w:tab w:val="right" w:pos="8306"/>
      </w:tabs>
    </w:pPr>
  </w:style>
  <w:style w:type="character" w:customStyle="1" w:styleId="a4">
    <w:name w:val="כותרת עליונה תו"/>
    <w:basedOn w:val="a0"/>
    <w:link w:val="a3"/>
    <w:rsid w:val="001D31E6"/>
    <w:rPr>
      <w:rFonts w:ascii="Times New Roman" w:eastAsia="Times New Roman" w:hAnsi="Times New Roman" w:cs="Times New Roman"/>
      <w:sz w:val="24"/>
      <w:szCs w:val="24"/>
    </w:rPr>
  </w:style>
  <w:style w:type="paragraph" w:styleId="a5">
    <w:name w:val="footer"/>
    <w:basedOn w:val="a"/>
    <w:link w:val="a6"/>
    <w:rsid w:val="001D31E6"/>
    <w:pPr>
      <w:tabs>
        <w:tab w:val="center" w:pos="4153"/>
        <w:tab w:val="right" w:pos="8306"/>
      </w:tabs>
    </w:pPr>
  </w:style>
  <w:style w:type="character" w:customStyle="1" w:styleId="a6">
    <w:name w:val="כותרת תחתונה תו"/>
    <w:basedOn w:val="a0"/>
    <w:link w:val="a5"/>
    <w:rsid w:val="001D31E6"/>
    <w:rPr>
      <w:rFonts w:ascii="Times New Roman" w:eastAsia="Times New Roman" w:hAnsi="Times New Roman" w:cs="Times New Roman"/>
      <w:sz w:val="24"/>
      <w:szCs w:val="24"/>
    </w:rPr>
  </w:style>
  <w:style w:type="character" w:styleId="a7">
    <w:name w:val="page number"/>
    <w:rsid w:val="001D31E6"/>
    <w:rPr>
      <w:rFonts w:cs="Times New Roman"/>
    </w:rPr>
  </w:style>
  <w:style w:type="paragraph" w:styleId="a8">
    <w:name w:val="Balloon Text"/>
    <w:basedOn w:val="a"/>
    <w:link w:val="a9"/>
    <w:uiPriority w:val="99"/>
    <w:semiHidden/>
    <w:unhideWhenUsed/>
    <w:rsid w:val="001D31E6"/>
    <w:rPr>
      <w:rFonts w:ascii="Tahoma" w:hAnsi="Tahoma" w:cs="Tahoma"/>
      <w:sz w:val="16"/>
      <w:szCs w:val="16"/>
    </w:rPr>
  </w:style>
  <w:style w:type="character" w:customStyle="1" w:styleId="a9">
    <w:name w:val="טקסט בלונים תו"/>
    <w:basedOn w:val="a0"/>
    <w:link w:val="a8"/>
    <w:uiPriority w:val="99"/>
    <w:semiHidden/>
    <w:rsid w:val="001D31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E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1E6"/>
    <w:pPr>
      <w:tabs>
        <w:tab w:val="center" w:pos="4153"/>
        <w:tab w:val="right" w:pos="8306"/>
      </w:tabs>
    </w:pPr>
  </w:style>
  <w:style w:type="character" w:customStyle="1" w:styleId="a4">
    <w:name w:val="כותרת עליונה תו"/>
    <w:basedOn w:val="a0"/>
    <w:link w:val="a3"/>
    <w:rsid w:val="001D31E6"/>
    <w:rPr>
      <w:rFonts w:ascii="Times New Roman" w:eastAsia="Times New Roman" w:hAnsi="Times New Roman" w:cs="Times New Roman"/>
      <w:sz w:val="24"/>
      <w:szCs w:val="24"/>
    </w:rPr>
  </w:style>
  <w:style w:type="paragraph" w:styleId="a5">
    <w:name w:val="footer"/>
    <w:basedOn w:val="a"/>
    <w:link w:val="a6"/>
    <w:rsid w:val="001D31E6"/>
    <w:pPr>
      <w:tabs>
        <w:tab w:val="center" w:pos="4153"/>
        <w:tab w:val="right" w:pos="8306"/>
      </w:tabs>
    </w:pPr>
  </w:style>
  <w:style w:type="character" w:customStyle="1" w:styleId="a6">
    <w:name w:val="כותרת תחתונה תו"/>
    <w:basedOn w:val="a0"/>
    <w:link w:val="a5"/>
    <w:rsid w:val="001D31E6"/>
    <w:rPr>
      <w:rFonts w:ascii="Times New Roman" w:eastAsia="Times New Roman" w:hAnsi="Times New Roman" w:cs="Times New Roman"/>
      <w:sz w:val="24"/>
      <w:szCs w:val="24"/>
    </w:rPr>
  </w:style>
  <w:style w:type="character" w:styleId="a7">
    <w:name w:val="page number"/>
    <w:rsid w:val="001D31E6"/>
    <w:rPr>
      <w:rFonts w:cs="Times New Roman"/>
    </w:rPr>
  </w:style>
  <w:style w:type="paragraph" w:styleId="a8">
    <w:name w:val="Balloon Text"/>
    <w:basedOn w:val="a"/>
    <w:link w:val="a9"/>
    <w:uiPriority w:val="99"/>
    <w:semiHidden/>
    <w:unhideWhenUsed/>
    <w:rsid w:val="001D31E6"/>
    <w:rPr>
      <w:rFonts w:ascii="Tahoma" w:hAnsi="Tahoma" w:cs="Tahoma"/>
      <w:sz w:val="16"/>
      <w:szCs w:val="16"/>
    </w:rPr>
  </w:style>
  <w:style w:type="character" w:customStyle="1" w:styleId="a9">
    <w:name w:val="טקסט בלונים תו"/>
    <w:basedOn w:val="a0"/>
    <w:link w:val="a8"/>
    <w:uiPriority w:val="99"/>
    <w:semiHidden/>
    <w:rsid w:val="001D31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ref.hebtools.com/?book=%20Exodus&amp;verse=22:25%E2%80%9327&amp;s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aw.com/Articles/corpora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742JyiqLhuk"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bibref.hebtools.com/?book=%20Deuteronomy&amp;verse=23:20%E2%80%9321&amp;src=" TargetMode="External"/><Relationship Id="rId4" Type="http://schemas.openxmlformats.org/officeDocument/2006/relationships/webSettings" Target="webSettings.xml"/><Relationship Id="rId9" Type="http://schemas.openxmlformats.org/officeDocument/2006/relationships/hyperlink" Target="http://bibref.hebtools.com/?book=%20Leviticus&amp;verse=25:36%E2%80%9337&amp;src="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5207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2020-08-30T08:28:00Z</dcterms:created>
  <dcterms:modified xsi:type="dcterms:W3CDTF">2020-08-30T08:29:00Z</dcterms:modified>
</cp:coreProperties>
</file>