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39E147" w14:textId="0048F305" w:rsidR="00426F0B" w:rsidRPr="00CB6D17" w:rsidRDefault="00426F0B" w:rsidP="00426F0B">
      <w:pPr>
        <w:spacing w:line="276" w:lineRule="auto"/>
        <w:jc w:val="right"/>
        <w:rPr>
          <w:rFonts w:asciiTheme="minorBidi" w:hAnsiTheme="minorBidi"/>
          <w:rtl/>
        </w:rPr>
      </w:pPr>
      <w:r>
        <w:rPr>
          <w:noProof/>
        </w:rPr>
        <mc:AlternateContent>
          <mc:Choice Requires="wps">
            <w:drawing>
              <wp:anchor distT="0" distB="0" distL="114300" distR="114300" simplePos="0" relativeHeight="251659264" behindDoc="0" locked="0" layoutInCell="1" allowOverlap="1" wp14:anchorId="079D2A4E" wp14:editId="01504A8F">
                <wp:simplePos x="0" y="0"/>
                <wp:positionH relativeFrom="column">
                  <wp:posOffset>-238760</wp:posOffset>
                </wp:positionH>
                <wp:positionV relativeFrom="paragraph">
                  <wp:posOffset>93980</wp:posOffset>
                </wp:positionV>
                <wp:extent cx="2122170" cy="327025"/>
                <wp:effectExtent l="0" t="0" r="0" b="0"/>
                <wp:wrapNone/>
                <wp:docPr id="499275958"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2170" cy="327025"/>
                        </a:xfrm>
                        <a:prstGeom prst="rect">
                          <a:avLst/>
                        </a:prstGeom>
                        <a:noFill/>
                        <a:ln w="6350">
                          <a:noFill/>
                        </a:ln>
                      </wps:spPr>
                      <wps:txbx>
                        <w:txbxContent>
                          <w:p w14:paraId="327DD34B" w14:textId="77777777" w:rsidR="00426F0B" w:rsidRPr="005768F2" w:rsidRDefault="00426F0B" w:rsidP="00426F0B">
                            <w:pPr>
                              <w:rPr>
                                <w:rFonts w:asciiTheme="minorBidi" w:hAnsiTheme="minorBidi"/>
                                <w:color w:val="004229"/>
                              </w:rPr>
                            </w:pPr>
                            <w:r>
                              <w:rPr>
                                <w:color w:val="004229"/>
                                <w:lang w:val="en"/>
                              </w:rPr>
                              <w:t>Date: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D2A4E" id="_x0000_t202" coordsize="21600,21600" o:spt="202" path="m,l,21600r21600,l21600,xe">
                <v:stroke joinstyle="miter"/>
                <v:path gradientshapeok="t" o:connecttype="rect"/>
              </v:shapetype>
              <v:shape id="תיבת טקסט 5" o:spid="_x0000_s1026" type="#_x0000_t202" style="position:absolute;left:0;text-align:left;margin-left:-18.8pt;margin-top:7.4pt;width:167.1pt;height:2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" filled="f" stroked="f" strokeweight=".5pt">
                <v:textbox>
                  <w:txbxContent>
                    <w:p w14:paraId="327DD34B" w14:textId="77777777" w:rsidR="00426F0B" w:rsidRPr="005768F2" w:rsidRDefault="00426F0B" w:rsidP="00426F0B">
                      <w:pPr>
                        <w:rPr>
                          <w:rFonts w:asciiTheme="minorBidi" w:hAnsiTheme="minorBidi"/>
                          <w:color w:val="004229"/>
                        </w:rPr>
                      </w:pPr>
                      <w:r>
                        <w:rPr>
                          <w:color w:val="004229"/>
                          <w:lang w:val="en"/>
                        </w:rPr>
                        <w:t>Date: September 2026</w:t>
                      </w:r>
                    </w:p>
                  </w:txbxContent>
                </v:textbox>
              </v:shape>
            </w:pict>
          </mc:Fallback>
        </mc:AlternateConten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208AEF32" wp14:editId="14739016">
                <wp:extent cx="304800" cy="304800"/>
                <wp:effectExtent l="0" t="0" r="0" b="0"/>
                <wp:docPr id="1053926630" name="מלבן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77C6EF2" id="מלבן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6FB919DC" wp14:editId="2DF442C6">
                <wp:extent cx="304800" cy="304800"/>
                <wp:effectExtent l="0" t="0" r="0" b="0"/>
                <wp:docPr id="146310596" name="מלבן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CF08E54" id="מלבן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1AA4002B" wp14:editId="62ED4823">
                <wp:extent cx="304800" cy="304800"/>
                <wp:effectExtent l="0" t="0" r="0" b="0"/>
                <wp:docPr id="17528563" name="מלבן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BC3710A" id="מלבן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50F3FD7C" wp14:editId="26149433">
                <wp:extent cx="304800" cy="304800"/>
                <wp:effectExtent l="0" t="0" r="0" b="0"/>
                <wp:docPr id="784944200" name="מלבן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5135A5" id="מלבן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fldChar w:fldCharType="begin"/>
      </w:r>
      <w:r>
        <w:instrText xml:space="preserve"> INCLUDEPICTURE "https://israelxp.com/wp-content/uploads/2020/11/logo-bar-ilan-university.png" \* MERGEFORMATINET </w:instrText>
      </w:r>
      <w:r>
        <w:fldChar w:fldCharType="separate"/>
      </w:r>
      <w:r>
        <w:rPr>
          <w:noProof/>
        </w:rPr>
        <w:drawing>
          <wp:inline distT="0" distB="0" distL="0" distR="0" wp14:anchorId="12F868CA" wp14:editId="5ED8CF3E">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fldChar w:fldCharType="end"/>
      </w:r>
    </w:p>
    <w:p w14:paraId="19845130" w14:textId="77777777" w:rsidR="00426F0B" w:rsidRPr="00CB6D17" w:rsidRDefault="00426F0B" w:rsidP="00426F0B">
      <w:pPr>
        <w:spacing w:line="276" w:lineRule="auto"/>
        <w:rPr>
          <w:rFonts w:asciiTheme="minorBidi" w:hAnsiTheme="minorBidi"/>
          <w:rtl/>
        </w:rPr>
      </w:pPr>
    </w:p>
    <w:p w14:paraId="042B639A" w14:textId="77777777" w:rsidR="00426F0B" w:rsidRPr="00CB6D17" w:rsidRDefault="00426F0B" w:rsidP="00426F0B">
      <w:pPr>
        <w:spacing w:line="276" w:lineRule="auto"/>
        <w:ind w:left="-284" w:firstLine="284"/>
        <w:rPr>
          <w:rFonts w:asciiTheme="minorBidi" w:hAnsiTheme="minorBidi"/>
          <w:rtl/>
        </w:rPr>
      </w:pPr>
    </w:p>
    <w:p w14:paraId="493C9506" w14:textId="77777777" w:rsidR="00426F0B" w:rsidRDefault="00426F0B" w:rsidP="00426F0B">
      <w:pPr>
        <w:spacing w:line="276" w:lineRule="auto"/>
        <w:jc w:val="center"/>
        <w:rPr>
          <w:rFonts w:asciiTheme="minorBidi" w:hAnsiTheme="minorBidi"/>
          <w:color w:val="004229"/>
          <w:sz w:val="40"/>
          <w:szCs w:val="40"/>
        </w:rPr>
      </w:pPr>
      <w:r w:rsidRPr="00CB6D17">
        <w:rPr>
          <w:color w:val="004229"/>
          <w:sz w:val="40"/>
          <w:szCs w:val="40"/>
          <w:lang w:val="en"/>
        </w:rPr>
        <w:t>Syllabus - Teaching Program for the Course</w:t>
      </w:r>
    </w:p>
    <w:p w14:paraId="2C574B11" w14:textId="77777777" w:rsidR="00426F0B" w:rsidRPr="00426F0B" w:rsidRDefault="00426F0B" w:rsidP="00426F0B">
      <w:pPr>
        <w:spacing w:after="100" w:afterAutospacing="1"/>
        <w:jc w:val="center"/>
        <w:outlineLvl w:val="0"/>
        <w:rPr>
          <w:sz w:val="40"/>
          <w:szCs w:val="40"/>
        </w:rPr>
      </w:pPr>
      <w:r w:rsidRPr="00426F0B">
        <w:rPr>
          <w:rFonts w:ascii="David" w:eastAsiaTheme="minorHAnsi" w:hAnsi="David" w:cs="David"/>
          <w:sz w:val="40"/>
          <w:szCs w:val="40"/>
          <w:lang w:val="en-US"/>
        </w:rPr>
        <w:t>Contemporary Issues in Jewish Law</w:t>
      </w:r>
    </w:p>
    <w:p w14:paraId="31388574" w14:textId="0BC557AB" w:rsidR="00426F0B" w:rsidRPr="00426F0B" w:rsidRDefault="00426F0B" w:rsidP="00426F0B">
      <w:pPr>
        <w:spacing w:after="100" w:afterAutospacing="1"/>
        <w:jc w:val="center"/>
        <w:outlineLvl w:val="0"/>
        <w:rPr>
          <w:rFonts w:ascii="Arial" w:hAnsi="Arial" w:cs="Arial" w:hint="cs"/>
          <w:b/>
          <w:bCs/>
          <w:color w:val="000000"/>
          <w:sz w:val="27"/>
          <w:szCs w:val="27"/>
          <w:shd w:val="clear" w:color="auto" w:fill="F5F5F5"/>
          <w:rtl/>
        </w:rPr>
      </w:pPr>
      <w:r>
        <w:t>Rabbi Ari Kahn | Judaic Studies / Basic Jewish Studies</w:t>
      </w:r>
      <w:r>
        <w:rPr>
          <w:b/>
          <w:bCs/>
          <w:color w:val="004229"/>
          <w:sz w:val="32"/>
          <w:szCs w:val="32"/>
          <w:lang w:val="en"/>
        </w:rPr>
        <w:br/>
      </w:r>
      <w:r>
        <w:rPr>
          <w:color w:val="004229"/>
          <w:sz w:val="28"/>
          <w:szCs w:val="28"/>
          <w:lang w:val="en"/>
        </w:rPr>
        <w:t xml:space="preserve">Course No </w:t>
      </w:r>
      <w:r>
        <w:rPr>
          <w:rFonts w:ascii="Arial" w:hAnsi="Arial" w:cs="Arial"/>
          <w:b/>
          <w:bCs/>
          <w:color w:val="000000"/>
          <w:sz w:val="27"/>
          <w:szCs w:val="27"/>
          <w:shd w:val="clear" w:color="auto" w:fill="F5F5F5"/>
        </w:rPr>
        <w:t>0</w:t>
      </w:r>
      <w:r w:rsidRPr="00252C11">
        <w:rPr>
          <w:rFonts w:ascii="Arial" w:hAnsi="Arial" w:cs="Arial"/>
          <w:b/>
          <w:bCs/>
          <w:color w:val="000000"/>
          <w:sz w:val="27"/>
          <w:szCs w:val="27"/>
          <w:shd w:val="clear" w:color="auto" w:fill="F5F5F5"/>
        </w:rPr>
        <w:t>2</w:t>
      </w:r>
      <w:r>
        <w:rPr>
          <w:rFonts w:ascii="Arial" w:hAnsi="Arial" w:cs="Arial"/>
          <w:b/>
          <w:bCs/>
          <w:color w:val="000000"/>
          <w:sz w:val="27"/>
          <w:szCs w:val="27"/>
          <w:shd w:val="clear" w:color="auto" w:fill="F5F5F5"/>
          <w:lang w:val="en-US"/>
        </w:rPr>
        <w:t>-</w:t>
      </w:r>
      <w:r w:rsidRPr="00252C11">
        <w:rPr>
          <w:rFonts w:ascii="Arial" w:hAnsi="Arial" w:cs="Arial"/>
          <w:b/>
          <w:bCs/>
          <w:color w:val="000000"/>
          <w:sz w:val="27"/>
          <w:szCs w:val="27"/>
          <w:shd w:val="clear" w:color="auto" w:fill="F5F5F5"/>
        </w:rPr>
        <w:t>36</w:t>
      </w:r>
      <w:r>
        <w:rPr>
          <w:rFonts w:ascii="Arial" w:hAnsi="Arial" w:cs="Arial"/>
          <w:b/>
          <w:bCs/>
          <w:color w:val="000000"/>
          <w:sz w:val="27"/>
          <w:szCs w:val="27"/>
          <w:shd w:val="clear" w:color="auto" w:fill="F5F5F5"/>
        </w:rPr>
        <w:t>8</w:t>
      </w:r>
      <w:r w:rsidRPr="00252C11">
        <w:rPr>
          <w:rFonts w:ascii="Arial" w:hAnsi="Arial" w:cs="Arial"/>
          <w:b/>
          <w:bCs/>
          <w:color w:val="000000"/>
          <w:sz w:val="27"/>
          <w:szCs w:val="27"/>
          <w:shd w:val="clear" w:color="auto" w:fill="F5F5F5"/>
        </w:rPr>
        <w:t>-81</w:t>
      </w:r>
      <w:r>
        <w:rPr>
          <w:b/>
          <w:bCs/>
          <w:color w:val="004229"/>
          <w:sz w:val="48"/>
          <w:szCs w:val="48"/>
          <w:lang w:val="en"/>
        </w:rPr>
        <w:br/>
      </w: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426F0B" w14:paraId="3D6F0F43" w14:textId="77777777" w:rsidTr="00BA4D5A">
        <w:trPr>
          <w:trHeight w:val="407"/>
        </w:trPr>
        <w:tc>
          <w:tcPr>
            <w:tcW w:w="2427" w:type="dxa"/>
            <w:vAlign w:val="center"/>
          </w:tcPr>
          <w:p w14:paraId="606490E0"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Course Type:</w:t>
            </w:r>
          </w:p>
        </w:tc>
        <w:tc>
          <w:tcPr>
            <w:tcW w:w="7032" w:type="dxa"/>
            <w:vAlign w:val="center"/>
          </w:tcPr>
          <w:p w14:paraId="0D16C422" w14:textId="77777777" w:rsidR="00426F0B" w:rsidRDefault="00426F0B" w:rsidP="00BA4D5A">
            <w:pPr>
              <w:spacing w:line="276" w:lineRule="auto"/>
              <w:rPr>
                <w:rFonts w:asciiTheme="minorBidi" w:hAnsiTheme="minorBidi"/>
                <w:color w:val="004229"/>
                <w:rtl/>
              </w:rPr>
            </w:pPr>
            <w:r>
              <w:rPr>
                <w:color w:val="004229"/>
                <w:lang w:val="en"/>
              </w:rPr>
              <w:t>class</w:t>
            </w:r>
          </w:p>
        </w:tc>
      </w:tr>
      <w:tr w:rsidR="00426F0B" w14:paraId="345A6483" w14:textId="77777777" w:rsidTr="00BA4D5A">
        <w:trPr>
          <w:trHeight w:val="428"/>
        </w:trPr>
        <w:tc>
          <w:tcPr>
            <w:tcW w:w="2427" w:type="dxa"/>
            <w:vAlign w:val="center"/>
          </w:tcPr>
          <w:p w14:paraId="68A95F0B"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Scope of credits:</w:t>
            </w:r>
          </w:p>
        </w:tc>
        <w:tc>
          <w:tcPr>
            <w:tcW w:w="7032" w:type="dxa"/>
            <w:vAlign w:val="center"/>
          </w:tcPr>
          <w:p w14:paraId="44B023CE" w14:textId="77777777" w:rsidR="00426F0B" w:rsidRDefault="00426F0B" w:rsidP="00BA4D5A">
            <w:pPr>
              <w:spacing w:line="276" w:lineRule="auto"/>
              <w:rPr>
                <w:rFonts w:asciiTheme="minorBidi" w:hAnsiTheme="minorBidi"/>
                <w:color w:val="004229"/>
                <w:rtl/>
              </w:rPr>
            </w:pPr>
            <w:r>
              <w:rPr>
                <w:color w:val="004229"/>
                <w:lang w:val="en"/>
              </w:rPr>
              <w:t>2</w:t>
            </w:r>
          </w:p>
        </w:tc>
      </w:tr>
      <w:tr w:rsidR="00426F0B" w14:paraId="3F5CE3C4" w14:textId="77777777" w:rsidTr="00BA4D5A">
        <w:trPr>
          <w:trHeight w:val="407"/>
        </w:trPr>
        <w:tc>
          <w:tcPr>
            <w:tcW w:w="2427" w:type="dxa"/>
            <w:vAlign w:val="center"/>
          </w:tcPr>
          <w:p w14:paraId="0ACEC4CB"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Year of study:</w:t>
            </w:r>
          </w:p>
        </w:tc>
        <w:tc>
          <w:tcPr>
            <w:tcW w:w="7032" w:type="dxa"/>
            <w:vAlign w:val="center"/>
          </w:tcPr>
          <w:p w14:paraId="396052FF" w14:textId="77777777" w:rsidR="00426F0B" w:rsidRDefault="00426F0B" w:rsidP="00BA4D5A">
            <w:pPr>
              <w:spacing w:line="276" w:lineRule="auto"/>
              <w:rPr>
                <w:rFonts w:asciiTheme="minorBidi" w:hAnsiTheme="minorBidi"/>
                <w:color w:val="004229"/>
                <w:rtl/>
              </w:rPr>
            </w:pPr>
            <w:r>
              <w:rPr>
                <w:color w:val="004229"/>
                <w:lang w:val="en"/>
              </w:rPr>
              <w:t>2027</w:t>
            </w:r>
          </w:p>
        </w:tc>
      </w:tr>
      <w:tr w:rsidR="00426F0B" w14:paraId="0131A921" w14:textId="77777777" w:rsidTr="00BA4D5A">
        <w:trPr>
          <w:trHeight w:val="428"/>
        </w:trPr>
        <w:tc>
          <w:tcPr>
            <w:tcW w:w="2427" w:type="dxa"/>
            <w:vAlign w:val="center"/>
          </w:tcPr>
          <w:p w14:paraId="699ABBF4"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Semester:</w:t>
            </w:r>
          </w:p>
        </w:tc>
        <w:tc>
          <w:tcPr>
            <w:tcW w:w="7032" w:type="dxa"/>
            <w:vAlign w:val="center"/>
          </w:tcPr>
          <w:p w14:paraId="7029731A" w14:textId="77777777" w:rsidR="00426F0B" w:rsidRDefault="00426F0B" w:rsidP="00BA4D5A">
            <w:pPr>
              <w:spacing w:line="276" w:lineRule="auto"/>
              <w:rPr>
                <w:rFonts w:asciiTheme="minorBidi" w:hAnsiTheme="minorBidi"/>
                <w:color w:val="004229"/>
                <w:rtl/>
              </w:rPr>
            </w:pPr>
            <w:r>
              <w:rPr>
                <w:color w:val="004229"/>
                <w:lang w:val="en"/>
              </w:rPr>
              <w:t>Spring</w:t>
            </w:r>
          </w:p>
        </w:tc>
      </w:tr>
      <w:tr w:rsidR="00426F0B" w14:paraId="24D69CC7" w14:textId="77777777" w:rsidTr="00BA4D5A">
        <w:trPr>
          <w:trHeight w:val="407"/>
        </w:trPr>
        <w:tc>
          <w:tcPr>
            <w:tcW w:w="2427" w:type="dxa"/>
            <w:vAlign w:val="center"/>
          </w:tcPr>
          <w:p w14:paraId="6932140D" w14:textId="77777777" w:rsidR="00426F0B" w:rsidRPr="005047F8" w:rsidRDefault="00426F0B" w:rsidP="00BA4D5A">
            <w:pPr>
              <w:spacing w:line="276" w:lineRule="auto"/>
              <w:rPr>
                <w:rFonts w:asciiTheme="minorBidi" w:hAnsiTheme="minorBidi"/>
                <w:b/>
                <w:bCs/>
                <w:color w:val="004229"/>
                <w:rtl/>
              </w:rPr>
            </w:pPr>
            <w:r w:rsidRPr="008A12C0">
              <w:rPr>
                <w:b/>
                <w:bCs/>
                <w:color w:val="004229"/>
                <w:lang w:val="en"/>
              </w:rPr>
              <w:t>Day &amp; Time</w:t>
            </w:r>
            <w:r>
              <w:rPr>
                <w:b/>
                <w:bCs/>
                <w:color w:val="004229"/>
              </w:rPr>
              <w:t>:</w:t>
            </w:r>
          </w:p>
        </w:tc>
        <w:tc>
          <w:tcPr>
            <w:tcW w:w="7032" w:type="dxa"/>
            <w:vAlign w:val="center"/>
          </w:tcPr>
          <w:p w14:paraId="4138385A" w14:textId="77777777" w:rsidR="00426F0B" w:rsidRDefault="00426F0B" w:rsidP="00BA4D5A">
            <w:pPr>
              <w:spacing w:line="276" w:lineRule="auto"/>
              <w:rPr>
                <w:rFonts w:asciiTheme="minorBidi" w:hAnsiTheme="minorBidi"/>
                <w:color w:val="004229"/>
                <w:rtl/>
              </w:rPr>
            </w:pPr>
            <w:r>
              <w:rPr>
                <w:color w:val="004229"/>
                <w:lang w:val="en"/>
              </w:rPr>
              <w:t>Wednesday 10:30</w:t>
            </w:r>
          </w:p>
        </w:tc>
      </w:tr>
      <w:tr w:rsidR="00426F0B" w14:paraId="7FFE6C37" w14:textId="77777777" w:rsidTr="00BA4D5A">
        <w:trPr>
          <w:trHeight w:val="407"/>
        </w:trPr>
        <w:tc>
          <w:tcPr>
            <w:tcW w:w="2427" w:type="dxa"/>
            <w:vAlign w:val="center"/>
          </w:tcPr>
          <w:p w14:paraId="58494E17"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Reception Time:</w:t>
            </w:r>
          </w:p>
        </w:tc>
        <w:tc>
          <w:tcPr>
            <w:tcW w:w="7032" w:type="dxa"/>
            <w:vAlign w:val="center"/>
          </w:tcPr>
          <w:p w14:paraId="0F45B35B" w14:textId="77777777" w:rsidR="00426F0B" w:rsidRDefault="00426F0B" w:rsidP="00BA4D5A">
            <w:pPr>
              <w:spacing w:line="276" w:lineRule="auto"/>
              <w:rPr>
                <w:rFonts w:asciiTheme="minorBidi" w:hAnsiTheme="minorBidi"/>
                <w:color w:val="004229"/>
                <w:rtl/>
              </w:rPr>
            </w:pPr>
            <w:r>
              <w:rPr>
                <w:color w:val="004229"/>
                <w:lang w:val="en"/>
              </w:rPr>
              <w:t>Wednesday 14:00</w:t>
            </w:r>
          </w:p>
        </w:tc>
      </w:tr>
      <w:tr w:rsidR="00426F0B" w14:paraId="19963EC3" w14:textId="77777777" w:rsidTr="00BA4D5A">
        <w:trPr>
          <w:trHeight w:val="428"/>
        </w:trPr>
        <w:tc>
          <w:tcPr>
            <w:tcW w:w="2427" w:type="dxa"/>
            <w:vAlign w:val="center"/>
          </w:tcPr>
          <w:p w14:paraId="5E8A8918"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Lecturer Email:</w:t>
            </w:r>
          </w:p>
        </w:tc>
        <w:tc>
          <w:tcPr>
            <w:tcW w:w="7032" w:type="dxa"/>
            <w:vAlign w:val="center"/>
          </w:tcPr>
          <w:p w14:paraId="03BA352A" w14:textId="77777777" w:rsidR="00426F0B" w:rsidRDefault="00426F0B" w:rsidP="00BA4D5A">
            <w:pPr>
              <w:spacing w:line="276" w:lineRule="auto"/>
              <w:rPr>
                <w:rFonts w:asciiTheme="minorBidi" w:hAnsiTheme="minorBidi"/>
                <w:color w:val="004229"/>
                <w:rtl/>
              </w:rPr>
            </w:pPr>
            <w:r>
              <w:t>Ari.kahn@biu.ac.il</w:t>
            </w:r>
          </w:p>
        </w:tc>
      </w:tr>
      <w:tr w:rsidR="00426F0B" w14:paraId="64FB47A2" w14:textId="77777777" w:rsidTr="00BA4D5A">
        <w:trPr>
          <w:trHeight w:val="407"/>
        </w:trPr>
        <w:tc>
          <w:tcPr>
            <w:tcW w:w="2427" w:type="dxa"/>
            <w:vAlign w:val="center"/>
          </w:tcPr>
          <w:p w14:paraId="33F282A7" w14:textId="77777777" w:rsidR="00426F0B" w:rsidRPr="008A12C0" w:rsidRDefault="00426F0B" w:rsidP="00BA4D5A">
            <w:pPr>
              <w:spacing w:line="276" w:lineRule="auto"/>
              <w:rPr>
                <w:rFonts w:asciiTheme="minorBidi" w:hAnsiTheme="minorBidi"/>
                <w:b/>
                <w:bCs/>
                <w:color w:val="004229"/>
                <w:rtl/>
              </w:rPr>
            </w:pPr>
            <w:r w:rsidRPr="008A12C0">
              <w:rPr>
                <w:b/>
                <w:bCs/>
                <w:color w:val="004229"/>
                <w:lang w:val="en"/>
              </w:rPr>
              <w:t>M</w:t>
            </w:r>
            <w:r>
              <w:rPr>
                <w:b/>
                <w:bCs/>
                <w:color w:val="004229"/>
                <w:lang w:val="en"/>
              </w:rPr>
              <w:t>o</w:t>
            </w:r>
            <w:r w:rsidRPr="008A12C0">
              <w:rPr>
                <w:b/>
                <w:bCs/>
                <w:color w:val="004229"/>
                <w:lang w:val="en"/>
              </w:rPr>
              <w:t>odl</w:t>
            </w:r>
            <w:r>
              <w:rPr>
                <w:b/>
                <w:bCs/>
                <w:color w:val="004229"/>
                <w:lang w:val="en"/>
              </w:rPr>
              <w:t>e</w:t>
            </w:r>
            <w:r w:rsidRPr="008A12C0">
              <w:rPr>
                <w:b/>
                <w:bCs/>
                <w:color w:val="004229"/>
                <w:lang w:val="en"/>
              </w:rPr>
              <w:t xml:space="preserve"> Site:</w:t>
            </w:r>
          </w:p>
        </w:tc>
        <w:tc>
          <w:tcPr>
            <w:tcW w:w="7032" w:type="dxa"/>
            <w:vAlign w:val="center"/>
          </w:tcPr>
          <w:p w14:paraId="798B02E7" w14:textId="77777777" w:rsidR="00426F0B" w:rsidRDefault="00426F0B" w:rsidP="00BA4D5A">
            <w:pPr>
              <w:spacing w:line="276" w:lineRule="auto"/>
              <w:rPr>
                <w:rFonts w:asciiTheme="minorBidi" w:hAnsiTheme="minorBidi"/>
                <w:color w:val="004229"/>
                <w:rtl/>
              </w:rPr>
            </w:pPr>
            <w:r>
              <w:rPr>
                <w:rFonts w:ascii="Arial" w:hAnsi="Arial" w:cs="Arial"/>
                <w:b/>
                <w:bCs/>
                <w:color w:val="000000"/>
                <w:sz w:val="27"/>
                <w:szCs w:val="27"/>
                <w:shd w:val="clear" w:color="auto" w:fill="F5F5F5"/>
              </w:rPr>
              <w:t xml:space="preserve">- </w:t>
            </w:r>
            <w:hyperlink r:id="rId6" w:history="1">
              <w:r w:rsidRPr="00736A94">
                <w:rPr>
                  <w:rStyle w:val="Hyperlink"/>
                  <w:rFonts w:asciiTheme="minorBidi" w:hAnsiTheme="minorBidi"/>
                </w:rPr>
                <w:t>https://lemida.biu.ac.il/course/view.php?id=114641</w:t>
              </w:r>
            </w:hyperlink>
            <w:r>
              <w:rPr>
                <w:rFonts w:asciiTheme="minorBidi" w:hAnsiTheme="minorBidi"/>
                <w:color w:val="004229"/>
              </w:rPr>
              <w:t xml:space="preserve"> </w:t>
            </w:r>
          </w:p>
        </w:tc>
      </w:tr>
    </w:tbl>
    <w:p w14:paraId="16F80B77" w14:textId="77777777" w:rsidR="00426F0B" w:rsidRDefault="00426F0B" w:rsidP="00426F0B">
      <w:pPr>
        <w:bidi/>
        <w:spacing w:line="276" w:lineRule="auto"/>
        <w:rPr>
          <w:rFonts w:asciiTheme="minorBidi" w:hAnsiTheme="minorBidi"/>
          <w:b/>
          <w:bCs/>
          <w:color w:val="004229"/>
          <w:rtl/>
        </w:rPr>
      </w:pPr>
    </w:p>
    <w:p w14:paraId="44DC8023" w14:textId="77777777" w:rsidR="00426F0B" w:rsidRPr="0025546E" w:rsidRDefault="00426F0B" w:rsidP="00426F0B">
      <w:pPr>
        <w:rPr>
          <w:rFonts w:asciiTheme="minorBidi" w:hAnsiTheme="minorBidi"/>
          <w:color w:val="004229"/>
        </w:rPr>
      </w:pPr>
      <w:r>
        <w:rPr>
          <w:b/>
          <w:noProof/>
          <w:color w:val="004229"/>
          <w:sz w:val="32"/>
          <w:szCs w:val="32"/>
          <w:lang w:val="en"/>
        </w:rPr>
        <w:drawing>
          <wp:inline distT="0" distB="0" distL="0" distR="0" wp14:anchorId="3E9370C3" wp14:editId="3959D09E">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60827" cy="460827"/>
                    </a:xfrm>
                    <a:prstGeom prst="rect">
                      <a:avLst/>
                    </a:prstGeom>
                  </pic:spPr>
                </pic:pic>
              </a:graphicData>
            </a:graphic>
          </wp:inline>
        </w:drawing>
      </w:r>
      <w:r w:rsidRPr="004332A3">
        <w:rPr>
          <w:b/>
          <w:bCs/>
          <w:color w:val="004229"/>
          <w:sz w:val="32"/>
          <w:szCs w:val="32"/>
          <w:lang w:val="en"/>
        </w:rPr>
        <w:t>Course description</w:t>
      </w:r>
      <w:r>
        <w:rPr>
          <w:b/>
          <w:bCs/>
          <w:color w:val="004229"/>
          <w:sz w:val="32"/>
          <w:szCs w:val="32"/>
          <w:lang w:val="en"/>
        </w:rPr>
        <w:t xml:space="preserve"> and learning goals</w:t>
      </w:r>
    </w:p>
    <w:p w14:paraId="5A2CA97D" w14:textId="77777777" w:rsidR="00426F0B" w:rsidRPr="00CB6D17" w:rsidRDefault="00426F0B" w:rsidP="00426F0B">
      <w:pPr>
        <w:bidi/>
        <w:spacing w:line="276" w:lineRule="auto"/>
        <w:rPr>
          <w:rFonts w:asciiTheme="minorBidi" w:hAnsiTheme="minorBidi"/>
          <w:color w:val="004229"/>
          <w:sz w:val="22"/>
          <w:szCs w:val="22"/>
          <w:rtl/>
        </w:rPr>
      </w:pPr>
    </w:p>
    <w:p w14:paraId="7E6EF407" w14:textId="77777777" w:rsidR="00426F0B" w:rsidRDefault="00426F0B" w:rsidP="00426F0B">
      <w:pPr>
        <w:spacing w:line="276" w:lineRule="auto"/>
        <w:rPr>
          <w:color w:val="3B3838" w:themeColor="background2" w:themeShade="40"/>
          <w:lang w:val="en"/>
        </w:rPr>
      </w:pPr>
      <w:r w:rsidRPr="00002C8D">
        <w:rPr>
          <w:b/>
          <w:bCs/>
          <w:color w:val="004229"/>
          <w:lang w:val="en"/>
        </w:rPr>
        <w:t>Course Abstract</w:t>
      </w:r>
      <w:r>
        <w:rPr>
          <w:b/>
          <w:bCs/>
          <w:color w:val="004229"/>
          <w:lang w:val="en"/>
        </w:rPr>
        <w:t xml:space="preserve"> </w:t>
      </w:r>
      <w:r w:rsidRPr="00002C8D">
        <w:rPr>
          <w:b/>
          <w:bCs/>
          <w:color w:val="004229"/>
          <w:lang w:val="en"/>
        </w:rPr>
        <w:t>(</w:t>
      </w:r>
      <w:hyperlink w:anchor="_תקציר_הקורס" w:history="1">
        <w:r>
          <w:rPr>
            <w:rStyle w:val="Hyperlink"/>
            <w:b/>
            <w:bCs/>
            <w:lang w:val="en"/>
          </w:rPr>
          <w:t>expand</w:t>
        </w:r>
      </w:hyperlink>
      <w:r>
        <w:rPr>
          <w:b/>
          <w:bCs/>
          <w:color w:val="004229"/>
          <w:lang w:val="en"/>
        </w:rPr>
        <w:t>)</w:t>
      </w:r>
    </w:p>
    <w:p w14:paraId="0194A5A9" w14:textId="77777777" w:rsidR="00426F0B" w:rsidRPr="00190C4E" w:rsidRDefault="00426F0B" w:rsidP="00426F0B">
      <w:pPr>
        <w:shd w:val="clear" w:color="auto" w:fill="EEEEEE"/>
        <w:spacing w:before="100" w:beforeAutospacing="1" w:after="100" w:afterAutospacing="1"/>
        <w:rPr>
          <w:rFonts w:ascii="Arial" w:hAnsi="Arial" w:cs="Arial"/>
          <w:color w:val="000000"/>
        </w:rPr>
      </w:pPr>
      <w:r w:rsidRPr="00252C11">
        <w:rPr>
          <w:rFonts w:ascii="Arial" w:hAnsi="Arial" w:cs="Arial"/>
          <w:i/>
          <w:iCs/>
          <w:color w:val="000000"/>
        </w:rPr>
        <w:t>Course description: This course will examine selected chapters of Jewish Law and Ethics. The primary focus will be on "life and death" issues, i.e. lifeboat ethics, triage, quality of life, euthanasia, abortion, sexual ethics, privilege and obligations. The second semester will focus on general ethical issues. These topics will be analyzed from both legal and ethical perspectives, and comparisons will be made with other legal systems and other systems of ethical thought. The relationship between ethics, society, religion, and culture will also be examined. </w:t>
      </w:r>
      <w:r w:rsidRPr="00190C4E">
        <w:rPr>
          <w:rFonts w:ascii="Arial" w:hAnsi="Arial" w:cs="Arial"/>
          <w:i/>
          <w:iCs/>
          <w:color w:val="000000"/>
        </w:rPr>
        <w:t>Biblical and Talmudic texts will be studied alongside modern rabbinic responsa and legal decisions, in an attempt to understand the legal and philosophical underpinnings of contemporary law. A study of the basic concepts and principles of morals, values, and judgments that govern human actions, as well as various theories of ethics, will be conducted. </w:t>
      </w:r>
    </w:p>
    <w:p w14:paraId="3EA3F446" w14:textId="77777777" w:rsidR="00426F0B" w:rsidRPr="00252C11" w:rsidRDefault="00426F0B" w:rsidP="00426F0B">
      <w:pPr>
        <w:spacing w:before="100" w:beforeAutospacing="1" w:after="100" w:afterAutospacing="1"/>
        <w:jc w:val="both"/>
        <w:rPr>
          <w:rFonts w:ascii="Arial" w:hAnsi="Arial" w:cs="Arial"/>
          <w:color w:val="000000"/>
        </w:rPr>
      </w:pPr>
    </w:p>
    <w:p w14:paraId="32DEFDE5" w14:textId="77777777" w:rsidR="00426F0B" w:rsidRPr="00002C8D" w:rsidRDefault="00426F0B" w:rsidP="00426F0B">
      <w:pPr>
        <w:spacing w:line="276" w:lineRule="auto"/>
        <w:rPr>
          <w:rFonts w:asciiTheme="minorBidi" w:hAnsiTheme="minorBidi"/>
          <w:color w:val="003D27"/>
          <w:rtl/>
        </w:rPr>
      </w:pPr>
    </w:p>
    <w:p w14:paraId="2FBEFEAD" w14:textId="77777777" w:rsidR="00426F0B" w:rsidRPr="00002C8D" w:rsidRDefault="00426F0B" w:rsidP="00426F0B">
      <w:pPr>
        <w:bidi/>
        <w:spacing w:line="276" w:lineRule="auto"/>
        <w:rPr>
          <w:rFonts w:asciiTheme="minorBidi" w:hAnsiTheme="minorBidi"/>
          <w:b/>
          <w:bCs/>
          <w:color w:val="004229"/>
          <w:rtl/>
        </w:rPr>
      </w:pPr>
    </w:p>
    <w:p w14:paraId="4D3D0D6F" w14:textId="77777777" w:rsidR="00426F0B" w:rsidRPr="00002C8D" w:rsidRDefault="00426F0B" w:rsidP="00426F0B">
      <w:pPr>
        <w:spacing w:line="276" w:lineRule="auto"/>
        <w:rPr>
          <w:rFonts w:asciiTheme="minorBidi" w:hAnsiTheme="minorBidi"/>
          <w:b/>
          <w:bCs/>
          <w:color w:val="004229"/>
          <w:rtl/>
        </w:rPr>
      </w:pPr>
      <w:r w:rsidRPr="00002C8D">
        <w:rPr>
          <w:b/>
          <w:bCs/>
          <w:color w:val="004229"/>
          <w:lang w:val="en"/>
        </w:rPr>
        <w:lastRenderedPageBreak/>
        <w:t>Learning objectives</w:t>
      </w:r>
      <w:r>
        <w:rPr>
          <w:lang w:val="en"/>
        </w:rPr>
        <w:t xml:space="preserve"> </w:t>
      </w:r>
      <w:r>
        <w:rPr>
          <w:b/>
          <w:bCs/>
          <w:color w:val="004229"/>
          <w:lang w:val="en"/>
        </w:rPr>
        <w:t>(</w:t>
      </w:r>
      <w:hyperlink w:anchor="_מטרות_הלמידה" w:history="1">
        <w:r w:rsidRPr="00166462">
          <w:rPr>
            <w:rStyle w:val="Hyperlink"/>
            <w:b/>
            <w:bCs/>
            <w:lang w:val="en"/>
          </w:rPr>
          <w:t>expand</w:t>
        </w:r>
      </w:hyperlink>
      <w:r>
        <w:rPr>
          <w:b/>
          <w:bCs/>
          <w:color w:val="004229"/>
          <w:lang w:val="en"/>
        </w:rPr>
        <w:t>)</w:t>
      </w:r>
    </w:p>
    <w:p w14:paraId="3A394C51" w14:textId="77777777" w:rsidR="00426F0B" w:rsidRPr="00252C11" w:rsidRDefault="00426F0B" w:rsidP="00426F0B">
      <w:pPr>
        <w:spacing w:before="100" w:beforeAutospacing="1" w:after="100" w:afterAutospacing="1"/>
        <w:jc w:val="both"/>
        <w:rPr>
          <w:rFonts w:ascii="Arial" w:hAnsi="Arial" w:cs="Arial"/>
          <w:color w:val="000000"/>
        </w:rPr>
      </w:pPr>
      <w:r w:rsidRPr="00252C11">
        <w:rPr>
          <w:rFonts w:ascii="Arial" w:hAnsi="Arial" w:cs="Arial"/>
          <w:i/>
          <w:iCs/>
          <w:color w:val="000000"/>
        </w:rPr>
        <w:t>Course Goals – for students to learn how to analyze and negotiate with moral quandaries, and how to use both ancient and modern sources in this quest.</w:t>
      </w:r>
    </w:p>
    <w:p w14:paraId="433195F8" w14:textId="77777777" w:rsidR="00426F0B" w:rsidRPr="00432F22" w:rsidRDefault="00426F0B" w:rsidP="00426F0B">
      <w:pPr>
        <w:bidi/>
        <w:spacing w:line="276" w:lineRule="auto"/>
        <w:rPr>
          <w:rFonts w:asciiTheme="minorBidi" w:hAnsiTheme="minorBidi"/>
          <w:color w:val="004229"/>
          <w:rtl/>
          <w:lang w:val="en-US"/>
        </w:rPr>
      </w:pPr>
    </w:p>
    <w:p w14:paraId="60531D10" w14:textId="77777777" w:rsidR="00426F0B" w:rsidRDefault="00426F0B" w:rsidP="00426F0B">
      <w:pPr>
        <w:spacing w:line="276" w:lineRule="auto"/>
        <w:rPr>
          <w:rFonts w:asciiTheme="minorBidi" w:hAnsiTheme="minorBidi"/>
          <w:b/>
          <w:bCs/>
          <w:color w:val="004229"/>
          <w:rtl/>
        </w:rPr>
      </w:pPr>
      <w:r>
        <w:rPr>
          <w:b/>
          <w:bCs/>
          <w:color w:val="004229"/>
          <w:lang w:val="en"/>
        </w:rPr>
        <w:t>K</w:t>
      </w:r>
      <w:r w:rsidRPr="00E979D9">
        <w:rPr>
          <w:b/>
          <w:bCs/>
          <w:color w:val="004229"/>
          <w:lang w:val="en"/>
        </w:rPr>
        <w:t>nowledge</w:t>
      </w:r>
    </w:p>
    <w:p w14:paraId="6F8EE413" w14:textId="77777777" w:rsidR="00426F0B" w:rsidRDefault="00426F0B" w:rsidP="00426F0B">
      <w:pPr>
        <w:pStyle w:val="NormalWeb"/>
      </w:pPr>
      <w:r>
        <w:t>Learners will:</w:t>
      </w:r>
    </w:p>
    <w:p w14:paraId="57D09101" w14:textId="77777777" w:rsidR="00426F0B" w:rsidRDefault="00426F0B" w:rsidP="00426F0B">
      <w:pPr>
        <w:numPr>
          <w:ilvl w:val="0"/>
          <w:numId w:val="2"/>
        </w:numPr>
        <w:spacing w:before="100" w:beforeAutospacing="1" w:after="100" w:afterAutospacing="1"/>
      </w:pPr>
      <w:r>
        <w:rPr>
          <w:rStyle w:val="aa"/>
        </w:rPr>
        <w:t>Describe</w:t>
      </w:r>
      <w:r>
        <w:t xml:space="preserve"> major ethical dilemmas in Jewish law, including abortion, euthanasia, triage, and sexual ethics.</w:t>
      </w:r>
    </w:p>
    <w:p w14:paraId="7757C6F9" w14:textId="77777777" w:rsidR="00426F0B" w:rsidRDefault="00426F0B" w:rsidP="00426F0B">
      <w:pPr>
        <w:numPr>
          <w:ilvl w:val="0"/>
          <w:numId w:val="2"/>
        </w:numPr>
        <w:spacing w:before="100" w:beforeAutospacing="1" w:after="100" w:afterAutospacing="1"/>
      </w:pPr>
      <w:r>
        <w:rPr>
          <w:rStyle w:val="aa"/>
        </w:rPr>
        <w:t>Define</w:t>
      </w:r>
      <w:r>
        <w:t xml:space="preserve"> halakhic principles and ethical theories relevant to contemporary moral issues.</w:t>
      </w:r>
    </w:p>
    <w:p w14:paraId="7D794912" w14:textId="77777777" w:rsidR="00426F0B" w:rsidRDefault="00426F0B" w:rsidP="00426F0B">
      <w:pPr>
        <w:numPr>
          <w:ilvl w:val="0"/>
          <w:numId w:val="2"/>
        </w:numPr>
        <w:spacing w:before="100" w:beforeAutospacing="1" w:after="100" w:afterAutospacing="1"/>
      </w:pPr>
      <w:r>
        <w:rPr>
          <w:rStyle w:val="aa"/>
        </w:rPr>
        <w:t>Write</w:t>
      </w:r>
      <w:r>
        <w:t xml:space="preserve"> analytical essays comparing Jewish legal sources with secular ethical frameworks.</w:t>
      </w:r>
    </w:p>
    <w:p w14:paraId="30F5393E" w14:textId="77777777" w:rsidR="00426F0B" w:rsidRDefault="00426F0B" w:rsidP="00426F0B">
      <w:pPr>
        <w:numPr>
          <w:ilvl w:val="0"/>
          <w:numId w:val="2"/>
        </w:numPr>
        <w:spacing w:before="100" w:beforeAutospacing="1" w:after="100" w:afterAutospacing="1"/>
      </w:pPr>
      <w:r>
        <w:rPr>
          <w:rStyle w:val="aa"/>
        </w:rPr>
        <w:t>Collect</w:t>
      </w:r>
      <w:r>
        <w:t xml:space="preserve"> primary and secondary sources (Talmudic, halakhic, philosophical) to support ethical analysis.</w:t>
      </w:r>
    </w:p>
    <w:p w14:paraId="4AA1C32F" w14:textId="77777777" w:rsidR="00426F0B" w:rsidRDefault="00426F0B" w:rsidP="00426F0B">
      <w:pPr>
        <w:numPr>
          <w:ilvl w:val="0"/>
          <w:numId w:val="2"/>
        </w:numPr>
        <w:spacing w:before="100" w:beforeAutospacing="1" w:after="100" w:afterAutospacing="1"/>
      </w:pPr>
      <w:r>
        <w:rPr>
          <w:rStyle w:val="aa"/>
        </w:rPr>
        <w:t>Plan</w:t>
      </w:r>
      <w:r>
        <w:t xml:space="preserve"> structured arguments based on classical and modern Jewish texts.</w:t>
      </w:r>
    </w:p>
    <w:p w14:paraId="3AC9BCBD" w14:textId="77777777" w:rsidR="00426F0B" w:rsidRDefault="00426F0B" w:rsidP="00426F0B">
      <w:pPr>
        <w:pStyle w:val="3"/>
      </w:pPr>
      <w:r>
        <w:rPr>
          <w:rStyle w:val="aa"/>
        </w:rPr>
        <w:t>Skills</w:t>
      </w:r>
    </w:p>
    <w:p w14:paraId="685A7041" w14:textId="77777777" w:rsidR="00426F0B" w:rsidRDefault="00426F0B" w:rsidP="00426F0B">
      <w:pPr>
        <w:pStyle w:val="NormalWeb"/>
      </w:pPr>
      <w:r>
        <w:t>Learners will:</w:t>
      </w:r>
    </w:p>
    <w:p w14:paraId="70916665" w14:textId="77777777" w:rsidR="00426F0B" w:rsidRDefault="00426F0B" w:rsidP="00426F0B">
      <w:pPr>
        <w:numPr>
          <w:ilvl w:val="0"/>
          <w:numId w:val="3"/>
        </w:numPr>
        <w:spacing w:before="100" w:beforeAutospacing="1" w:after="100" w:afterAutospacing="1"/>
      </w:pPr>
      <w:r>
        <w:rPr>
          <w:rStyle w:val="aa"/>
        </w:rPr>
        <w:t>Analyze</w:t>
      </w:r>
      <w:r>
        <w:t xml:space="preserve"> complex moral cases (e.g., the Trolley Problem, conjoined twins, rape by coercion) using halakhic and ethical reasoning.</w:t>
      </w:r>
    </w:p>
    <w:p w14:paraId="15122967" w14:textId="77777777" w:rsidR="00426F0B" w:rsidRDefault="00426F0B" w:rsidP="00426F0B">
      <w:pPr>
        <w:numPr>
          <w:ilvl w:val="0"/>
          <w:numId w:val="3"/>
        </w:numPr>
        <w:spacing w:before="100" w:beforeAutospacing="1" w:after="100" w:afterAutospacing="1"/>
      </w:pPr>
      <w:r>
        <w:rPr>
          <w:rStyle w:val="aa"/>
        </w:rPr>
        <w:t>Evaluate</w:t>
      </w:r>
      <w:r>
        <w:t xml:space="preserve"> differing rabbinic opinions and their implications for contemporary ethical decision-making.</w:t>
      </w:r>
    </w:p>
    <w:p w14:paraId="74CB1FDE" w14:textId="77777777" w:rsidR="00426F0B" w:rsidRDefault="00426F0B" w:rsidP="00426F0B">
      <w:pPr>
        <w:numPr>
          <w:ilvl w:val="0"/>
          <w:numId w:val="3"/>
        </w:numPr>
        <w:spacing w:before="100" w:beforeAutospacing="1" w:after="100" w:afterAutospacing="1"/>
      </w:pPr>
      <w:r>
        <w:rPr>
          <w:rStyle w:val="aa"/>
        </w:rPr>
        <w:t>Compare</w:t>
      </w:r>
      <w:r>
        <w:t xml:space="preserve"> Jewish ethical responses with those of other legal and moral systems.</w:t>
      </w:r>
    </w:p>
    <w:p w14:paraId="2F92847B" w14:textId="77777777" w:rsidR="00426F0B" w:rsidRDefault="00426F0B" w:rsidP="00426F0B">
      <w:pPr>
        <w:numPr>
          <w:ilvl w:val="0"/>
          <w:numId w:val="3"/>
        </w:numPr>
        <w:spacing w:before="100" w:beforeAutospacing="1" w:after="100" w:afterAutospacing="1"/>
      </w:pPr>
      <w:r>
        <w:rPr>
          <w:rStyle w:val="aa"/>
        </w:rPr>
        <w:t>Synthesize</w:t>
      </w:r>
      <w:r>
        <w:t xml:space="preserve"> diverse sources to form coherent, textually grounded ethical positions.</w:t>
      </w:r>
    </w:p>
    <w:p w14:paraId="22F12DD7" w14:textId="77777777" w:rsidR="00426F0B" w:rsidRDefault="00426F0B" w:rsidP="00426F0B">
      <w:pPr>
        <w:numPr>
          <w:ilvl w:val="0"/>
          <w:numId w:val="3"/>
        </w:numPr>
        <w:spacing w:before="100" w:beforeAutospacing="1" w:after="100" w:afterAutospacing="1"/>
      </w:pPr>
      <w:r>
        <w:rPr>
          <w:rStyle w:val="aa"/>
        </w:rPr>
        <w:t>Present</w:t>
      </w:r>
      <w:r>
        <w:t xml:space="preserve"> oral and written arguments that demonstrate critical engagement with course materials.</w:t>
      </w:r>
    </w:p>
    <w:p w14:paraId="19784BB4" w14:textId="77777777" w:rsidR="00426F0B" w:rsidRDefault="00426F0B" w:rsidP="00426F0B">
      <w:pPr>
        <w:pStyle w:val="3"/>
      </w:pPr>
      <w:r>
        <w:rPr>
          <w:rStyle w:val="aa"/>
        </w:rPr>
        <w:t>Values</w:t>
      </w:r>
    </w:p>
    <w:p w14:paraId="36FCED84" w14:textId="77777777" w:rsidR="00426F0B" w:rsidRDefault="00426F0B" w:rsidP="00426F0B">
      <w:pPr>
        <w:pStyle w:val="NormalWeb"/>
      </w:pPr>
      <w:r>
        <w:t>Learners will:</w:t>
      </w:r>
    </w:p>
    <w:p w14:paraId="2030B27A" w14:textId="77777777" w:rsidR="00426F0B" w:rsidRDefault="00426F0B" w:rsidP="00426F0B">
      <w:pPr>
        <w:numPr>
          <w:ilvl w:val="0"/>
          <w:numId w:val="4"/>
        </w:numPr>
        <w:spacing w:before="100" w:beforeAutospacing="1" w:after="100" w:afterAutospacing="1"/>
      </w:pPr>
      <w:r>
        <w:t xml:space="preserve">Develop a </w:t>
      </w:r>
      <w:r>
        <w:rPr>
          <w:rStyle w:val="aa"/>
        </w:rPr>
        <w:t>critical standpoint</w:t>
      </w:r>
      <w:r>
        <w:t xml:space="preserve"> on the intersection of halakha, ethics, and modern societal challenges.</w:t>
      </w:r>
    </w:p>
    <w:p w14:paraId="073BBDC7" w14:textId="77777777" w:rsidR="00426F0B" w:rsidRDefault="00426F0B" w:rsidP="00426F0B">
      <w:pPr>
        <w:numPr>
          <w:ilvl w:val="0"/>
          <w:numId w:val="4"/>
        </w:numPr>
        <w:spacing w:before="100" w:beforeAutospacing="1" w:after="100" w:afterAutospacing="1"/>
      </w:pPr>
      <w:r>
        <w:t xml:space="preserve">Cultivate </w:t>
      </w:r>
      <w:r>
        <w:rPr>
          <w:rStyle w:val="aa"/>
        </w:rPr>
        <w:t>intellectual humility</w:t>
      </w:r>
      <w:r>
        <w:t xml:space="preserve"> and </w:t>
      </w:r>
      <w:r>
        <w:rPr>
          <w:rStyle w:val="aa"/>
        </w:rPr>
        <w:t>open-mindedness</w:t>
      </w:r>
      <w:r>
        <w:t xml:space="preserve"> when encountering diverse halakhic and ethical perspectives.</w:t>
      </w:r>
    </w:p>
    <w:p w14:paraId="19EC2B66" w14:textId="77777777" w:rsidR="00426F0B" w:rsidRDefault="00426F0B" w:rsidP="00426F0B">
      <w:pPr>
        <w:numPr>
          <w:ilvl w:val="0"/>
          <w:numId w:val="4"/>
        </w:numPr>
        <w:spacing w:before="100" w:beforeAutospacing="1" w:after="100" w:afterAutospacing="1"/>
      </w:pPr>
      <w:r>
        <w:t xml:space="preserve">Appreciate the </w:t>
      </w:r>
      <w:r>
        <w:rPr>
          <w:rStyle w:val="aa"/>
        </w:rPr>
        <w:t>moral complexity</w:t>
      </w:r>
      <w:r>
        <w:t xml:space="preserve"> of real-life dilemmas and the role of Jewish tradition in navigating them.</w:t>
      </w:r>
    </w:p>
    <w:p w14:paraId="1449B310" w14:textId="77777777" w:rsidR="00426F0B" w:rsidRDefault="00426F0B" w:rsidP="00426F0B">
      <w:pPr>
        <w:numPr>
          <w:ilvl w:val="0"/>
          <w:numId w:val="4"/>
        </w:numPr>
        <w:spacing w:before="100" w:beforeAutospacing="1" w:after="100" w:afterAutospacing="1"/>
      </w:pPr>
      <w:r>
        <w:t xml:space="preserve">Embrace the </w:t>
      </w:r>
      <w:r>
        <w:rPr>
          <w:rStyle w:val="aa"/>
        </w:rPr>
        <w:t>responsibility of ethical reasoning</w:t>
      </w:r>
      <w:r>
        <w:t xml:space="preserve"> grounded in both tradition and contemporary awareness.</w:t>
      </w:r>
    </w:p>
    <w:p w14:paraId="6A671978" w14:textId="77777777" w:rsidR="00426F0B" w:rsidRDefault="00426F0B" w:rsidP="00426F0B">
      <w:pPr>
        <w:numPr>
          <w:ilvl w:val="0"/>
          <w:numId w:val="4"/>
        </w:numPr>
        <w:spacing w:before="100" w:beforeAutospacing="1" w:after="100" w:afterAutospacing="1"/>
      </w:pPr>
      <w:r>
        <w:t xml:space="preserve">Reflect on the </w:t>
      </w:r>
      <w:r>
        <w:rPr>
          <w:rStyle w:val="aa"/>
        </w:rPr>
        <w:t>sanctity of life</w:t>
      </w:r>
      <w:r>
        <w:t xml:space="preserve">, </w:t>
      </w:r>
      <w:r>
        <w:rPr>
          <w:rStyle w:val="aa"/>
        </w:rPr>
        <w:t>human dignity</w:t>
      </w:r>
      <w:r>
        <w:t xml:space="preserve">, and </w:t>
      </w:r>
      <w:r>
        <w:rPr>
          <w:rStyle w:val="aa"/>
        </w:rPr>
        <w:t>communal responsibility</w:t>
      </w:r>
      <w:r>
        <w:t xml:space="preserve"> as guiding values in Jewish ethics.</w:t>
      </w:r>
    </w:p>
    <w:p w14:paraId="1048F454" w14:textId="77777777" w:rsidR="00426F0B" w:rsidRDefault="00426F0B" w:rsidP="00426F0B">
      <w:pPr>
        <w:shd w:val="clear" w:color="auto" w:fill="FAFAFA"/>
        <w:spacing w:before="100" w:beforeAutospacing="1" w:after="100" w:afterAutospacing="1"/>
        <w:ind w:left="720"/>
        <w:rPr>
          <w:rFonts w:ascii="Segoe UI" w:hAnsi="Segoe UI" w:cs="Segoe UI"/>
          <w:color w:val="424242"/>
        </w:rPr>
      </w:pPr>
    </w:p>
    <w:p w14:paraId="59D1E4EC" w14:textId="77777777" w:rsidR="00426F0B" w:rsidRPr="00AF2C94" w:rsidRDefault="00426F0B" w:rsidP="00426F0B">
      <w:pPr>
        <w:spacing w:line="276" w:lineRule="auto"/>
        <w:rPr>
          <w:b/>
          <w:bCs/>
          <w:color w:val="004229"/>
          <w:sz w:val="28"/>
          <w:szCs w:val="28"/>
        </w:rPr>
      </w:pPr>
    </w:p>
    <w:p w14:paraId="64482A98" w14:textId="77777777" w:rsidR="00426F0B" w:rsidRPr="00303E78" w:rsidRDefault="00426F0B" w:rsidP="00426F0B">
      <w:pPr>
        <w:spacing w:line="276" w:lineRule="auto"/>
        <w:rPr>
          <w:rFonts w:asciiTheme="minorBidi" w:hAnsiTheme="minorBidi"/>
          <w:b/>
          <w:bCs/>
          <w:color w:val="004229"/>
          <w:sz w:val="28"/>
          <w:szCs w:val="28"/>
          <w:rtl/>
        </w:rPr>
      </w:pPr>
      <w:r w:rsidRPr="00F01562">
        <w:rPr>
          <w:noProof/>
          <w:color w:val="004229"/>
          <w:sz w:val="28"/>
          <w:szCs w:val="28"/>
          <w:lang w:val="en"/>
        </w:rPr>
        <w:drawing>
          <wp:inline distT="0" distB="0" distL="0" distR="0" wp14:anchorId="45A506D4" wp14:editId="6703CD27">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Active learning –</w:t>
      </w:r>
      <w:r>
        <w:rPr>
          <w:lang w:val="en"/>
        </w:rPr>
        <w:t xml:space="preserve"> </w:t>
      </w:r>
      <w:r w:rsidRPr="00303E78">
        <w:rPr>
          <w:b/>
          <w:bCs/>
          <w:color w:val="004229"/>
          <w:sz w:val="28"/>
          <w:szCs w:val="28"/>
          <w:lang w:val="en"/>
        </w:rPr>
        <w:t>lessons plan:(</w:t>
      </w:r>
      <w:hyperlink w:anchor="_למידה_פעילה" w:history="1">
        <w:r>
          <w:rPr>
            <w:rStyle w:val="Hyperlink"/>
            <w:b/>
            <w:bCs/>
            <w:sz w:val="28"/>
            <w:szCs w:val="28"/>
            <w:lang w:val="en"/>
          </w:rPr>
          <w:t>expand</w:t>
        </w:r>
      </w:hyperlink>
      <w:r w:rsidRPr="00303E78">
        <w:rPr>
          <w:b/>
          <w:bCs/>
          <w:color w:val="004229"/>
          <w:sz w:val="28"/>
          <w:szCs w:val="28"/>
          <w:lang w:val="en"/>
        </w:rPr>
        <w:t>)</w:t>
      </w:r>
    </w:p>
    <w:p w14:paraId="3F96E289" w14:textId="77777777" w:rsidR="00426F0B" w:rsidRDefault="00426F0B" w:rsidP="00426F0B">
      <w:pPr>
        <w:bidi/>
        <w:spacing w:line="276" w:lineRule="auto"/>
        <w:rPr>
          <w:rFonts w:asciiTheme="minorBidi" w:hAnsiTheme="minorBidi"/>
          <w:color w:val="78CDE6"/>
          <w:rtl/>
        </w:rPr>
      </w:pPr>
    </w:p>
    <w:p w14:paraId="1A7D6907" w14:textId="77777777" w:rsidR="00426F0B" w:rsidRDefault="00426F0B" w:rsidP="00426F0B">
      <w:pPr>
        <w:spacing w:line="276" w:lineRule="auto"/>
        <w:rPr>
          <w:rFonts w:asciiTheme="minorBidi" w:hAnsiTheme="minorBidi"/>
          <w:color w:val="004229"/>
          <w:sz w:val="22"/>
          <w:szCs w:val="22"/>
        </w:rPr>
      </w:pPr>
    </w:p>
    <w:tbl>
      <w:tblPr>
        <w:tblStyle w:val="a3"/>
        <w:tblW w:w="9776" w:type="dxa"/>
        <w:tblLook w:val="04A0" w:firstRow="1" w:lastRow="0" w:firstColumn="1" w:lastColumn="0" w:noHBand="0" w:noVBand="1"/>
      </w:tblPr>
      <w:tblGrid>
        <w:gridCol w:w="840"/>
        <w:gridCol w:w="1719"/>
        <w:gridCol w:w="1294"/>
        <w:gridCol w:w="4311"/>
        <w:gridCol w:w="1612"/>
      </w:tblGrid>
      <w:tr w:rsidR="00426F0B" w14:paraId="0274B42E" w14:textId="77777777" w:rsidTr="00BA4D5A">
        <w:tc>
          <w:tcPr>
            <w:tcW w:w="840" w:type="dxa"/>
            <w:shd w:val="clear" w:color="auto" w:fill="8CCBE3"/>
          </w:tcPr>
          <w:p w14:paraId="5833016A" w14:textId="77777777" w:rsidR="00426F0B" w:rsidRPr="006062E9" w:rsidRDefault="00426F0B" w:rsidP="00BA4D5A">
            <w:pPr>
              <w:spacing w:line="276" w:lineRule="auto"/>
              <w:jc w:val="center"/>
              <w:rPr>
                <w:rFonts w:cstheme="minorHAnsi"/>
                <w:color w:val="004229"/>
                <w:sz w:val="22"/>
                <w:szCs w:val="22"/>
              </w:rPr>
            </w:pPr>
            <w:r w:rsidRPr="006062E9">
              <w:rPr>
                <w:rFonts w:cstheme="minorHAnsi"/>
                <w:color w:val="004229"/>
                <w:sz w:val="22"/>
                <w:szCs w:val="22"/>
                <w:lang w:val="en"/>
              </w:rPr>
              <w:t>Lesson No.</w:t>
            </w:r>
          </w:p>
        </w:tc>
        <w:tc>
          <w:tcPr>
            <w:tcW w:w="1739" w:type="dxa"/>
            <w:shd w:val="clear" w:color="auto" w:fill="8CCBE3"/>
          </w:tcPr>
          <w:p w14:paraId="37CA3179" w14:textId="77777777" w:rsidR="00426F0B" w:rsidRPr="006062E9" w:rsidRDefault="00426F0B" w:rsidP="00BA4D5A">
            <w:pPr>
              <w:spacing w:line="276" w:lineRule="auto"/>
              <w:jc w:val="center"/>
              <w:rPr>
                <w:rFonts w:cstheme="minorHAnsi"/>
                <w:color w:val="004229"/>
                <w:sz w:val="22"/>
                <w:szCs w:val="22"/>
              </w:rPr>
            </w:pPr>
            <w:r w:rsidRPr="006062E9">
              <w:rPr>
                <w:rFonts w:cstheme="minorHAnsi"/>
                <w:color w:val="004229"/>
                <w:sz w:val="22"/>
                <w:szCs w:val="22"/>
              </w:rPr>
              <w:t>Topic</w:t>
            </w:r>
          </w:p>
        </w:tc>
        <w:tc>
          <w:tcPr>
            <w:tcW w:w="1196" w:type="dxa"/>
            <w:shd w:val="clear" w:color="auto" w:fill="8CCBE3"/>
          </w:tcPr>
          <w:p w14:paraId="62D8D35C" w14:textId="77777777" w:rsidR="00426F0B" w:rsidRDefault="00426F0B" w:rsidP="00BA4D5A">
            <w:pPr>
              <w:spacing w:line="276" w:lineRule="auto"/>
              <w:jc w:val="center"/>
              <w:rPr>
                <w:rFonts w:asciiTheme="minorBidi" w:hAnsiTheme="minorBidi"/>
                <w:color w:val="004229"/>
                <w:sz w:val="22"/>
                <w:szCs w:val="22"/>
              </w:rPr>
            </w:pPr>
            <w:r w:rsidRPr="00CB6D17">
              <w:rPr>
                <w:color w:val="004229"/>
                <w:sz w:val="22"/>
                <w:szCs w:val="22"/>
                <w:lang w:val="en"/>
              </w:rPr>
              <w:t>Active learning</w:t>
            </w:r>
          </w:p>
        </w:tc>
        <w:tc>
          <w:tcPr>
            <w:tcW w:w="4376" w:type="dxa"/>
            <w:shd w:val="clear" w:color="auto" w:fill="8CCBE3"/>
            <w:vAlign w:val="center"/>
          </w:tcPr>
          <w:p w14:paraId="3331598C" w14:textId="77777777" w:rsidR="00426F0B" w:rsidRPr="006062E9" w:rsidRDefault="00426F0B" w:rsidP="00BA4D5A">
            <w:pPr>
              <w:spacing w:line="276" w:lineRule="auto"/>
              <w:jc w:val="center"/>
              <w:rPr>
                <w:rFonts w:cstheme="minorHAnsi"/>
                <w:color w:val="004229"/>
                <w:sz w:val="22"/>
                <w:szCs w:val="22"/>
                <w:rtl/>
              </w:rPr>
            </w:pPr>
            <w:r w:rsidRPr="006062E9">
              <w:rPr>
                <w:rFonts w:cstheme="minorHAnsi"/>
                <w:color w:val="004229"/>
                <w:sz w:val="22"/>
                <w:szCs w:val="22"/>
              </w:rPr>
              <w:t>Required reading</w:t>
            </w:r>
          </w:p>
        </w:tc>
        <w:tc>
          <w:tcPr>
            <w:tcW w:w="1625" w:type="dxa"/>
            <w:shd w:val="clear" w:color="auto" w:fill="8CCBE3"/>
          </w:tcPr>
          <w:p w14:paraId="074523A2" w14:textId="77777777" w:rsidR="00426F0B" w:rsidRPr="006062E9" w:rsidRDefault="00426F0B" w:rsidP="00BA4D5A">
            <w:pPr>
              <w:spacing w:line="276" w:lineRule="auto"/>
              <w:jc w:val="center"/>
              <w:rPr>
                <w:rFonts w:cstheme="minorHAnsi"/>
                <w:color w:val="004229"/>
                <w:sz w:val="22"/>
                <w:szCs w:val="22"/>
              </w:rPr>
            </w:pPr>
            <w:r w:rsidRPr="006062E9">
              <w:rPr>
                <w:rFonts w:cstheme="minorHAnsi"/>
                <w:color w:val="004229"/>
                <w:sz w:val="22"/>
                <w:szCs w:val="22"/>
              </w:rPr>
              <w:t xml:space="preserve">Assessment </w:t>
            </w:r>
          </w:p>
        </w:tc>
      </w:tr>
      <w:tr w:rsidR="00426F0B" w14:paraId="31AD82D9" w14:textId="77777777" w:rsidTr="00BA4D5A">
        <w:tc>
          <w:tcPr>
            <w:tcW w:w="840" w:type="dxa"/>
          </w:tcPr>
          <w:p w14:paraId="5230F046"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1</w:t>
            </w:r>
          </w:p>
        </w:tc>
        <w:tc>
          <w:tcPr>
            <w:tcW w:w="1739" w:type="dxa"/>
          </w:tcPr>
          <w:p w14:paraId="3A7E83AD"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The Trolley problem – Utilitarian Problems and Solutions</w:t>
            </w:r>
          </w:p>
          <w:p w14:paraId="228E50F3"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48C45098" w14:textId="77777777" w:rsidR="00426F0B" w:rsidRPr="00AF2C94" w:rsidRDefault="00426F0B" w:rsidP="00BA4D5A">
            <w:pPr>
              <w:spacing w:line="276" w:lineRule="auto"/>
              <w:jc w:val="both"/>
              <w:rPr>
                <w:rFonts w:ascii="Optima" w:hAnsi="Optima"/>
                <w:color w:val="003D27"/>
                <w:sz w:val="20"/>
                <w:szCs w:val="20"/>
                <w:lang w:val="en"/>
              </w:rPr>
            </w:pPr>
            <w:r w:rsidRPr="00AF2C94">
              <w:rPr>
                <w:rFonts w:ascii="Optima" w:hAnsi="Optima"/>
                <w:color w:val="003D27"/>
                <w:sz w:val="20"/>
                <w:szCs w:val="20"/>
                <w:lang w:val="en"/>
              </w:rPr>
              <w:t>Collaborative learning</w:t>
            </w:r>
          </w:p>
        </w:tc>
        <w:tc>
          <w:tcPr>
            <w:tcW w:w="4376" w:type="dxa"/>
          </w:tcPr>
          <w:p w14:paraId="2E54BAA6"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Philippa Foot, "The Problem of Abortion and the Doctrine of the Double Effect" in Virtues and Vices (Oxford: Basil Blackwell, 1978) (originally appeared in the Oxford Review, Number 5, 1967.)</w:t>
            </w:r>
          </w:p>
          <w:p w14:paraId="03894D92"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457196A8" w14:textId="77777777" w:rsidR="00426F0B" w:rsidRPr="00AF2C94" w:rsidRDefault="00426F0B" w:rsidP="00BA4D5A">
            <w:pPr>
              <w:spacing w:line="276" w:lineRule="auto"/>
              <w:jc w:val="both"/>
              <w:rPr>
                <w:rFonts w:ascii="Optima" w:hAnsi="Optima"/>
                <w:color w:val="004229"/>
                <w:sz w:val="20"/>
                <w:szCs w:val="20"/>
                <w:lang w:val="en-US"/>
              </w:rPr>
            </w:pPr>
            <w:r w:rsidRPr="00AF2C94">
              <w:rPr>
                <w:rFonts w:ascii="Optima" w:hAnsi="Optima"/>
                <w:color w:val="004229"/>
                <w:sz w:val="20"/>
                <w:szCs w:val="20"/>
                <w:lang w:val="en-US"/>
              </w:rPr>
              <w:t xml:space="preserve">Written assignment </w:t>
            </w:r>
          </w:p>
        </w:tc>
      </w:tr>
      <w:tr w:rsidR="00426F0B" w14:paraId="27CD5104" w14:textId="77777777" w:rsidTr="00BA4D5A">
        <w:tc>
          <w:tcPr>
            <w:tcW w:w="840" w:type="dxa"/>
          </w:tcPr>
          <w:p w14:paraId="6881942C"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2</w:t>
            </w:r>
          </w:p>
        </w:tc>
        <w:tc>
          <w:tcPr>
            <w:tcW w:w="1739" w:type="dxa"/>
          </w:tcPr>
          <w:p w14:paraId="4E1E57EA"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Abortion: Is the Jewish Approach Monolithic? -Reasons for stringency</w:t>
            </w:r>
          </w:p>
          <w:p w14:paraId="7D1F967A"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3FDCCACB"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145CACFC" w14:textId="77777777" w:rsidR="00426F0B" w:rsidRPr="00AF2C94" w:rsidRDefault="00426F0B" w:rsidP="00BA4D5A">
            <w:pPr>
              <w:numPr>
                <w:ilvl w:val="0"/>
                <w:numId w:val="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Mishna Ohalot 7:6 .</w:t>
            </w:r>
          </w:p>
          <w:p w14:paraId="4264EDDA" w14:textId="77777777" w:rsidR="00426F0B" w:rsidRPr="00AF2C94" w:rsidRDefault="00426F0B" w:rsidP="00BA4D5A">
            <w:pPr>
              <w:numPr>
                <w:ilvl w:val="0"/>
                <w:numId w:val="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Sanhedrin 72b, Rashi </w:t>
            </w:r>
            <w:r w:rsidRPr="00AF2C94">
              <w:rPr>
                <w:rFonts w:ascii="Optima" w:hAnsi="Optima" w:cs="Arial"/>
                <w:i/>
                <w:iCs/>
                <w:color w:val="000000"/>
                <w:sz w:val="20"/>
                <w:szCs w:val="20"/>
              </w:rPr>
              <w:t>ad loc.</w:t>
            </w:r>
          </w:p>
          <w:p w14:paraId="3505A7C7" w14:textId="77777777" w:rsidR="00426F0B" w:rsidRPr="00AF2C94" w:rsidRDefault="00426F0B" w:rsidP="00BA4D5A">
            <w:pPr>
              <w:numPr>
                <w:ilvl w:val="0"/>
                <w:numId w:val="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Rambam, Laws of Murder 1:9</w:t>
            </w:r>
          </w:p>
          <w:p w14:paraId="35024021" w14:textId="77777777" w:rsidR="00426F0B" w:rsidRPr="00AF2C94" w:rsidRDefault="00426F0B" w:rsidP="00BA4D5A">
            <w:pPr>
              <w:numPr>
                <w:ilvl w:val="0"/>
                <w:numId w:val="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 Moshe Feinstein, </w:t>
            </w:r>
            <w:r w:rsidRPr="00AF2C94">
              <w:rPr>
                <w:rFonts w:ascii="Optima" w:hAnsi="Optima" w:cs="Arial"/>
                <w:i/>
                <w:iCs/>
                <w:color w:val="000000"/>
                <w:sz w:val="20"/>
                <w:szCs w:val="20"/>
              </w:rPr>
              <w:t>Iggerot Moshe,</w:t>
            </w:r>
            <w:r w:rsidRPr="00AF2C94">
              <w:rPr>
                <w:rFonts w:ascii="Optima" w:hAnsi="Optima" w:cs="Arial"/>
                <w:color w:val="000000"/>
                <w:sz w:val="20"/>
                <w:szCs w:val="20"/>
              </w:rPr>
              <w:t> </w:t>
            </w:r>
            <w:r w:rsidRPr="00AF2C94">
              <w:rPr>
                <w:rFonts w:ascii="Optima" w:hAnsi="Optima" w:cs="Arial"/>
                <w:i/>
                <w:iCs/>
                <w:color w:val="000000"/>
                <w:sz w:val="20"/>
                <w:szCs w:val="20"/>
              </w:rPr>
              <w:t>Hoshen Mishpat</w:t>
            </w:r>
            <w:r w:rsidRPr="00AF2C94">
              <w:rPr>
                <w:rFonts w:ascii="Optima" w:hAnsi="Optima" w:cs="Arial"/>
                <w:color w:val="000000"/>
                <w:sz w:val="20"/>
                <w:szCs w:val="20"/>
              </w:rPr>
              <w:t> 2:69,71</w:t>
            </w:r>
          </w:p>
          <w:p w14:paraId="32630CBA" w14:textId="77777777" w:rsidR="00426F0B" w:rsidRPr="00AF2C94" w:rsidRDefault="00426F0B" w:rsidP="00BA4D5A">
            <w:pPr>
              <w:spacing w:line="276" w:lineRule="auto"/>
              <w:jc w:val="both"/>
              <w:rPr>
                <w:rFonts w:ascii="Optima" w:hAnsi="Optima"/>
                <w:color w:val="004229"/>
                <w:sz w:val="20"/>
                <w:szCs w:val="20"/>
                <w:rtl/>
              </w:rPr>
            </w:pPr>
          </w:p>
        </w:tc>
        <w:tc>
          <w:tcPr>
            <w:tcW w:w="1625" w:type="dxa"/>
          </w:tcPr>
          <w:p w14:paraId="1CEC1423" w14:textId="77777777" w:rsidR="00426F0B" w:rsidRPr="00AF2C94" w:rsidRDefault="00426F0B" w:rsidP="00BA4D5A">
            <w:pPr>
              <w:spacing w:line="276" w:lineRule="auto"/>
              <w:jc w:val="both"/>
              <w:rPr>
                <w:rFonts w:ascii="Optima" w:hAnsi="Optima"/>
                <w:color w:val="004229"/>
                <w:sz w:val="20"/>
                <w:szCs w:val="20"/>
                <w:rtl/>
              </w:rPr>
            </w:pPr>
            <w:r w:rsidRPr="00AF2C94">
              <w:rPr>
                <w:rFonts w:ascii="Optima" w:hAnsi="Optima"/>
                <w:color w:val="004229"/>
                <w:sz w:val="20"/>
                <w:szCs w:val="20"/>
                <w:lang w:val="en-US"/>
              </w:rPr>
              <w:t>Written assignment</w:t>
            </w:r>
          </w:p>
        </w:tc>
      </w:tr>
      <w:tr w:rsidR="00426F0B" w14:paraId="44F3A49B" w14:textId="77777777" w:rsidTr="00BA4D5A">
        <w:tc>
          <w:tcPr>
            <w:tcW w:w="840" w:type="dxa"/>
          </w:tcPr>
          <w:p w14:paraId="0AA9D92D"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3</w:t>
            </w:r>
          </w:p>
        </w:tc>
        <w:tc>
          <w:tcPr>
            <w:tcW w:w="1739" w:type="dxa"/>
          </w:tcPr>
          <w:p w14:paraId="30FD5B35"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Abortion: Is the Jewish Approach Monolithic? Reasons for leniency</w:t>
            </w:r>
          </w:p>
          <w:p w14:paraId="02A0BB27"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6B3871CD"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6F72ACE0" w14:textId="77777777" w:rsidR="00426F0B" w:rsidRPr="00AF2C94" w:rsidRDefault="00426F0B" w:rsidP="00BA4D5A">
            <w:pPr>
              <w:numPr>
                <w:ilvl w:val="0"/>
                <w:numId w:val="6"/>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(Mishna) Arakhin 7a</w:t>
            </w:r>
          </w:p>
          <w:p w14:paraId="1D5EF168" w14:textId="77777777" w:rsidR="00426F0B" w:rsidRPr="00AF2C94" w:rsidRDefault="00426F0B" w:rsidP="00BA4D5A">
            <w:pPr>
              <w:numPr>
                <w:ilvl w:val="0"/>
                <w:numId w:val="6"/>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Maharit (Rabbi Joseph ben Moses Trani), 1:99</w:t>
            </w:r>
          </w:p>
          <w:p w14:paraId="5E5FE923" w14:textId="77777777" w:rsidR="00426F0B" w:rsidRPr="00AF2C94" w:rsidRDefault="00426F0B" w:rsidP="00BA4D5A">
            <w:pPr>
              <w:numPr>
                <w:ilvl w:val="0"/>
                <w:numId w:val="6"/>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i/>
                <w:iCs/>
                <w:color w:val="000000"/>
                <w:sz w:val="20"/>
                <w:szCs w:val="20"/>
              </w:rPr>
              <w:t>Havat Yair</w:t>
            </w:r>
            <w:r w:rsidRPr="00AF2C94">
              <w:rPr>
                <w:rFonts w:ascii="Optima" w:hAnsi="Optima" w:cs="Arial"/>
                <w:color w:val="000000"/>
                <w:sz w:val="20"/>
                <w:szCs w:val="20"/>
              </w:rPr>
              <w:t> (Rabbi Yair Chaim Bachrach) section 31</w:t>
            </w:r>
          </w:p>
          <w:p w14:paraId="207FD30F" w14:textId="77777777" w:rsidR="00426F0B" w:rsidRPr="00AF2C94" w:rsidRDefault="00426F0B" w:rsidP="00BA4D5A">
            <w:pPr>
              <w:numPr>
                <w:ilvl w:val="0"/>
                <w:numId w:val="6"/>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Rabbi Joseph Chaim of Baghdad, </w:t>
            </w:r>
            <w:r w:rsidRPr="00AF2C94">
              <w:rPr>
                <w:rFonts w:ascii="Optima" w:hAnsi="Optima" w:cs="Arial"/>
                <w:i/>
                <w:iCs/>
                <w:color w:val="000000"/>
                <w:sz w:val="20"/>
                <w:szCs w:val="20"/>
              </w:rPr>
              <w:t>Rav Pe’elim</w:t>
            </w:r>
            <w:r w:rsidRPr="00AF2C94">
              <w:rPr>
                <w:rFonts w:ascii="Optima" w:hAnsi="Optima" w:cs="Arial"/>
                <w:color w:val="000000"/>
                <w:sz w:val="20"/>
                <w:szCs w:val="20"/>
              </w:rPr>
              <w:t>, Even HaEzer section 4</w:t>
            </w:r>
          </w:p>
          <w:p w14:paraId="62D0BD24" w14:textId="77777777" w:rsidR="00426F0B" w:rsidRPr="00AF2C94" w:rsidRDefault="00426F0B" w:rsidP="00BA4D5A">
            <w:pPr>
              <w:numPr>
                <w:ilvl w:val="0"/>
                <w:numId w:val="6"/>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i/>
                <w:iCs/>
                <w:color w:val="000000"/>
                <w:sz w:val="20"/>
                <w:szCs w:val="20"/>
              </w:rPr>
              <w:t>Tzitz Eliezer</w:t>
            </w:r>
            <w:r w:rsidRPr="00AF2C94">
              <w:rPr>
                <w:rFonts w:ascii="Optima" w:hAnsi="Optima" w:cs="Arial"/>
                <w:color w:val="000000"/>
                <w:sz w:val="20"/>
                <w:szCs w:val="20"/>
              </w:rPr>
              <w:t> 9:51</w:t>
            </w:r>
          </w:p>
          <w:p w14:paraId="7CF4EDFC"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5B5AC991"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455E8A85" w14:textId="77777777" w:rsidTr="00BA4D5A">
        <w:tc>
          <w:tcPr>
            <w:tcW w:w="840" w:type="dxa"/>
          </w:tcPr>
          <w:p w14:paraId="51FE9B7C"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4</w:t>
            </w:r>
          </w:p>
        </w:tc>
        <w:tc>
          <w:tcPr>
            <w:tcW w:w="1739" w:type="dxa"/>
          </w:tcPr>
          <w:p w14:paraId="2F9FC155"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Separating Conjoined Twins</w:t>
            </w:r>
          </w:p>
          <w:p w14:paraId="1EC8B931"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15754214"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4E74B25C" w14:textId="77777777" w:rsidR="00426F0B" w:rsidRPr="00AF2C94" w:rsidRDefault="00426F0B" w:rsidP="00BA4D5A">
            <w:pPr>
              <w:numPr>
                <w:ilvl w:val="0"/>
                <w:numId w:val="7"/>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“So One May Live: Siamese Twins,” Unpublished Responsum by Rav Moshe Feinstein zt"l, Translated and annotated by Rabbi Moshe Dovid Tendler, </w:t>
            </w:r>
            <w:r w:rsidRPr="00AF2C94">
              <w:rPr>
                <w:rFonts w:ascii="Optima" w:hAnsi="Optima" w:cs="Arial"/>
                <w:i/>
                <w:iCs/>
                <w:color w:val="000000"/>
                <w:sz w:val="20"/>
                <w:szCs w:val="20"/>
              </w:rPr>
              <w:t>Care of the Critically</w:t>
            </w:r>
            <w:r w:rsidRPr="00AF2C94">
              <w:rPr>
                <w:rFonts w:ascii="Optima" w:hAnsi="Optima" w:cs="Arial"/>
                <w:color w:val="000000"/>
                <w:sz w:val="20"/>
                <w:szCs w:val="20"/>
              </w:rPr>
              <w:t> </w:t>
            </w:r>
            <w:r w:rsidRPr="00AF2C94">
              <w:rPr>
                <w:rFonts w:ascii="Optima" w:hAnsi="Optima" w:cs="Arial"/>
                <w:i/>
                <w:iCs/>
                <w:color w:val="000000"/>
                <w:sz w:val="20"/>
                <w:szCs w:val="20"/>
              </w:rPr>
              <w:t>Ill</w:t>
            </w:r>
            <w:r w:rsidRPr="00AF2C94">
              <w:rPr>
                <w:rFonts w:ascii="Optima" w:hAnsi="Optima" w:cs="Arial"/>
                <w:color w:val="000000"/>
                <w:sz w:val="20"/>
                <w:szCs w:val="20"/>
              </w:rPr>
              <w:t>, Vol. 1.</w:t>
            </w:r>
          </w:p>
          <w:p w14:paraId="6DEB5CFE"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795B79DA"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04790446" w14:textId="77777777" w:rsidTr="00BA4D5A">
        <w:tc>
          <w:tcPr>
            <w:tcW w:w="840" w:type="dxa"/>
          </w:tcPr>
          <w:p w14:paraId="56F4E090"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5</w:t>
            </w:r>
          </w:p>
        </w:tc>
        <w:tc>
          <w:tcPr>
            <w:tcW w:w="1739" w:type="dxa"/>
          </w:tcPr>
          <w:p w14:paraId="0B57E2C3"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Truth and Falsehood</w:t>
            </w:r>
          </w:p>
          <w:p w14:paraId="45A2FC46"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18B4F46E"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7111E21F" w14:textId="77777777" w:rsidR="00426F0B" w:rsidRPr="00AF2C94" w:rsidRDefault="00426F0B" w:rsidP="00BA4D5A">
            <w:pPr>
              <w:numPr>
                <w:ilvl w:val="0"/>
                <w:numId w:val="8"/>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Shavuot 31a</w:t>
            </w:r>
          </w:p>
          <w:p w14:paraId="561CA803"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24665288"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 xml:space="preserve">Written assignment </w:t>
            </w:r>
          </w:p>
        </w:tc>
      </w:tr>
      <w:tr w:rsidR="00426F0B" w14:paraId="161EEA69" w14:textId="77777777" w:rsidTr="00BA4D5A">
        <w:tc>
          <w:tcPr>
            <w:tcW w:w="840" w:type="dxa"/>
          </w:tcPr>
          <w:p w14:paraId="31A5B53E"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6</w:t>
            </w:r>
          </w:p>
        </w:tc>
        <w:tc>
          <w:tcPr>
            <w:tcW w:w="1739" w:type="dxa"/>
          </w:tcPr>
          <w:p w14:paraId="3D26CDC3"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Love your Neighbor </w:t>
            </w:r>
          </w:p>
          <w:p w14:paraId="14B07B33"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51730055"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43E0AE8C" w14:textId="77777777" w:rsidR="00426F0B" w:rsidRPr="00AF2C94" w:rsidRDefault="00426F0B" w:rsidP="00BA4D5A">
            <w:pPr>
              <w:numPr>
                <w:ilvl w:val="0"/>
                <w:numId w:val="9"/>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Leviticus 19:18</w:t>
            </w:r>
          </w:p>
          <w:p w14:paraId="1D94F964" w14:textId="77777777" w:rsidR="00426F0B" w:rsidRPr="00AF2C94" w:rsidRDefault="00426F0B" w:rsidP="00BA4D5A">
            <w:pPr>
              <w:numPr>
                <w:ilvl w:val="0"/>
                <w:numId w:val="9"/>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N. Lamm, “Loving and Hating Jews as Halachik Categories,” in Jacob J. Schachter (Ed.), </w:t>
            </w:r>
            <w:r w:rsidRPr="00AF2C94">
              <w:rPr>
                <w:rFonts w:ascii="Optima" w:hAnsi="Optima" w:cs="Arial"/>
                <w:color w:val="000000"/>
                <w:sz w:val="20"/>
                <w:szCs w:val="20"/>
                <w:u w:val="single"/>
              </w:rPr>
              <w:t>“Jewish Tradition and the Non-Traditional Jew”</w:t>
            </w:r>
            <w:r w:rsidRPr="00AF2C94">
              <w:rPr>
                <w:rFonts w:ascii="Optima" w:hAnsi="Optima" w:cs="Arial"/>
                <w:color w:val="000000"/>
                <w:sz w:val="20"/>
                <w:szCs w:val="20"/>
              </w:rPr>
              <w:t> (1992: Aronson), pp. 138-176.</w:t>
            </w:r>
          </w:p>
          <w:p w14:paraId="77304492"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11C38DAD"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2C672388" w14:textId="77777777" w:rsidTr="00BA4D5A">
        <w:tc>
          <w:tcPr>
            <w:tcW w:w="840" w:type="dxa"/>
          </w:tcPr>
          <w:p w14:paraId="3B137957"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lastRenderedPageBreak/>
              <w:t>7</w:t>
            </w:r>
          </w:p>
        </w:tc>
        <w:tc>
          <w:tcPr>
            <w:tcW w:w="1739" w:type="dxa"/>
          </w:tcPr>
          <w:p w14:paraId="7522C51C"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s="Arial"/>
                <w:color w:val="000000"/>
                <w:sz w:val="20"/>
                <w:szCs w:val="20"/>
              </w:rPr>
              <w:t>Obligations and Privileges: Can One Lose the Status of “Jew”? </w:t>
            </w:r>
          </w:p>
        </w:tc>
        <w:tc>
          <w:tcPr>
            <w:tcW w:w="1196" w:type="dxa"/>
          </w:tcPr>
          <w:p w14:paraId="51F0C074"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1C13F098" w14:textId="77777777" w:rsidR="00426F0B" w:rsidRPr="00AF2C94" w:rsidRDefault="00426F0B" w:rsidP="00BA4D5A">
            <w:pPr>
              <w:numPr>
                <w:ilvl w:val="0"/>
                <w:numId w:val="10"/>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Rambam, Laws of Teshuva Chapter 4, Mamrim Chapter 3.</w:t>
            </w:r>
          </w:p>
          <w:p w14:paraId="4401B183" w14:textId="77777777" w:rsidR="00426F0B" w:rsidRPr="00AF2C94" w:rsidRDefault="00426F0B" w:rsidP="00BA4D5A">
            <w:pPr>
              <w:numPr>
                <w:ilvl w:val="0"/>
                <w:numId w:val="10"/>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i/>
                <w:iCs/>
                <w:color w:val="000000"/>
                <w:sz w:val="20"/>
                <w:szCs w:val="20"/>
              </w:rPr>
              <w:t>Chazon Ish</w:t>
            </w:r>
            <w:r w:rsidRPr="00AF2C94">
              <w:rPr>
                <w:rFonts w:ascii="Optima" w:hAnsi="Optima" w:cs="Arial"/>
                <w:color w:val="000000"/>
                <w:sz w:val="20"/>
                <w:szCs w:val="20"/>
              </w:rPr>
              <w:t> Yoreh Dayeh 2:16.</w:t>
            </w:r>
          </w:p>
          <w:p w14:paraId="1003D492" w14:textId="77777777" w:rsidR="00426F0B" w:rsidRPr="00AF2C94" w:rsidRDefault="00426F0B" w:rsidP="00BA4D5A">
            <w:pPr>
              <w:spacing w:before="100" w:beforeAutospacing="1" w:after="100" w:afterAutospacing="1"/>
              <w:ind w:left="720"/>
              <w:jc w:val="both"/>
              <w:rPr>
                <w:rFonts w:ascii="Optima" w:hAnsi="Optima"/>
                <w:color w:val="004229"/>
                <w:sz w:val="20"/>
                <w:szCs w:val="20"/>
              </w:rPr>
            </w:pPr>
          </w:p>
        </w:tc>
        <w:tc>
          <w:tcPr>
            <w:tcW w:w="1625" w:type="dxa"/>
          </w:tcPr>
          <w:p w14:paraId="7DFEA0AE"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267A2E57" w14:textId="77777777" w:rsidTr="00BA4D5A">
        <w:tc>
          <w:tcPr>
            <w:tcW w:w="840" w:type="dxa"/>
          </w:tcPr>
          <w:p w14:paraId="0BCAD6AD"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8</w:t>
            </w:r>
          </w:p>
        </w:tc>
        <w:tc>
          <w:tcPr>
            <w:tcW w:w="1739" w:type="dxa"/>
          </w:tcPr>
          <w:p w14:paraId="7F9A5C26"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Judaism and Racism; The Challenge of Amalek</w:t>
            </w:r>
          </w:p>
          <w:p w14:paraId="5FCE0B93" w14:textId="77777777" w:rsidR="00426F0B" w:rsidRPr="00AF2C94" w:rsidRDefault="00426F0B" w:rsidP="00BA4D5A">
            <w:pPr>
              <w:tabs>
                <w:tab w:val="left" w:pos="657"/>
              </w:tabs>
              <w:spacing w:line="276" w:lineRule="auto"/>
              <w:jc w:val="both"/>
              <w:rPr>
                <w:rFonts w:ascii="Optima" w:hAnsi="Optima"/>
                <w:color w:val="004229"/>
                <w:sz w:val="20"/>
                <w:szCs w:val="20"/>
              </w:rPr>
            </w:pPr>
          </w:p>
        </w:tc>
        <w:tc>
          <w:tcPr>
            <w:tcW w:w="1196" w:type="dxa"/>
          </w:tcPr>
          <w:p w14:paraId="7E9EE449"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30A8B537" w14:textId="77777777" w:rsidR="00426F0B" w:rsidRPr="00AF2C94" w:rsidRDefault="00426F0B" w:rsidP="00BA4D5A">
            <w:pPr>
              <w:numPr>
                <w:ilvl w:val="0"/>
                <w:numId w:val="11"/>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Deuteronomy Chapter 25:17-19</w:t>
            </w:r>
          </w:p>
          <w:p w14:paraId="533CB9A6" w14:textId="77777777" w:rsidR="00426F0B" w:rsidRPr="00AF2C94" w:rsidRDefault="00426F0B" w:rsidP="00BA4D5A">
            <w:pPr>
              <w:numPr>
                <w:ilvl w:val="0"/>
                <w:numId w:val="11"/>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Commentary R’ Chaim Paltiel Deuteronomy Chapter 25:19</w:t>
            </w:r>
          </w:p>
          <w:p w14:paraId="5BAAF7C2" w14:textId="77777777" w:rsidR="00426F0B" w:rsidRPr="00AF2C94" w:rsidRDefault="00426F0B" w:rsidP="00BA4D5A">
            <w:pPr>
              <w:numPr>
                <w:ilvl w:val="0"/>
                <w:numId w:val="11"/>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Commentary Ha’amek Davar Deuteronomy Chapter 25:19</w:t>
            </w:r>
          </w:p>
          <w:p w14:paraId="48EFC13E" w14:textId="77777777" w:rsidR="00426F0B" w:rsidRPr="00AF2C94" w:rsidRDefault="00426F0B" w:rsidP="00BA4D5A">
            <w:pPr>
              <w:numPr>
                <w:ilvl w:val="0"/>
                <w:numId w:val="11"/>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Rambam Laws of Kings 6:1,3,4</w:t>
            </w:r>
          </w:p>
          <w:p w14:paraId="30D5335A"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7E1FD6A3"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2E01B2B9" w14:textId="77777777" w:rsidTr="00BA4D5A">
        <w:tc>
          <w:tcPr>
            <w:tcW w:w="840" w:type="dxa"/>
          </w:tcPr>
          <w:p w14:paraId="385094A6"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9</w:t>
            </w:r>
          </w:p>
        </w:tc>
        <w:tc>
          <w:tcPr>
            <w:tcW w:w="1739" w:type="dxa"/>
          </w:tcPr>
          <w:p w14:paraId="0663845E"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The Ethical Dilemma of Esther; Use of Sexuality to Save a life</w:t>
            </w:r>
          </w:p>
          <w:p w14:paraId="32D9B861"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65833DD9"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76E89B26" w14:textId="77777777" w:rsidR="00426F0B" w:rsidRPr="00AF2C94" w:rsidRDefault="00426F0B" w:rsidP="00BA4D5A">
            <w:pPr>
              <w:numPr>
                <w:ilvl w:val="0"/>
                <w:numId w:val="12"/>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Sanhedrin74b</w:t>
            </w:r>
          </w:p>
          <w:p w14:paraId="54950188" w14:textId="77777777" w:rsidR="00426F0B" w:rsidRPr="00AF2C94" w:rsidRDefault="00426F0B" w:rsidP="00BA4D5A">
            <w:pPr>
              <w:numPr>
                <w:ilvl w:val="0"/>
                <w:numId w:val="12"/>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Pesachim 25a</w:t>
            </w:r>
          </w:p>
          <w:p w14:paraId="73689AA4" w14:textId="77777777" w:rsidR="00426F0B" w:rsidRPr="00AF2C94" w:rsidRDefault="00426F0B" w:rsidP="00BA4D5A">
            <w:pPr>
              <w:numPr>
                <w:ilvl w:val="0"/>
                <w:numId w:val="12"/>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Rabbi Joseph ben Solomon Colon, </w:t>
            </w:r>
            <w:r w:rsidRPr="00AF2C94">
              <w:rPr>
                <w:rFonts w:ascii="Optima" w:hAnsi="Optima" w:cs="Arial"/>
                <w:i/>
                <w:iCs/>
                <w:color w:val="000000"/>
                <w:sz w:val="20"/>
                <w:szCs w:val="20"/>
              </w:rPr>
              <w:t>Responsa Maharik</w:t>
            </w:r>
            <w:r w:rsidRPr="00AF2C94">
              <w:rPr>
                <w:rFonts w:ascii="Optima" w:hAnsi="Optima" w:cs="Arial"/>
                <w:color w:val="000000"/>
                <w:sz w:val="20"/>
                <w:szCs w:val="20"/>
              </w:rPr>
              <w:t> 167</w:t>
            </w:r>
          </w:p>
          <w:p w14:paraId="0F01766C" w14:textId="77777777" w:rsidR="00426F0B" w:rsidRPr="00AF2C94" w:rsidRDefault="00426F0B" w:rsidP="00BA4D5A">
            <w:pPr>
              <w:numPr>
                <w:ilvl w:val="0"/>
                <w:numId w:val="12"/>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Rabbi Jacob ben Joseph Reischer, </w:t>
            </w:r>
            <w:r w:rsidRPr="00AF2C94">
              <w:rPr>
                <w:rFonts w:ascii="Optima" w:hAnsi="Optima" w:cs="Arial"/>
                <w:i/>
                <w:iCs/>
                <w:color w:val="000000"/>
                <w:sz w:val="20"/>
                <w:szCs w:val="20"/>
              </w:rPr>
              <w:t>Responsa Shvut Yaakov</w:t>
            </w:r>
            <w:r w:rsidRPr="00AF2C94">
              <w:rPr>
                <w:rFonts w:ascii="Optima" w:hAnsi="Optima" w:cs="Arial"/>
                <w:color w:val="000000"/>
                <w:sz w:val="20"/>
                <w:szCs w:val="20"/>
              </w:rPr>
              <w:t> Vol. 2, 117.</w:t>
            </w:r>
          </w:p>
          <w:p w14:paraId="4628D5FD"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s="Arial"/>
                <w:color w:val="000000"/>
                <w:sz w:val="20"/>
                <w:szCs w:val="20"/>
              </w:rPr>
              <w:t>Rabbi Ezekiel ben Judah Landau, </w:t>
            </w:r>
            <w:r w:rsidRPr="00AF2C94">
              <w:rPr>
                <w:rFonts w:ascii="Optima" w:hAnsi="Optima" w:cs="Arial"/>
                <w:i/>
                <w:iCs/>
                <w:color w:val="000000"/>
                <w:sz w:val="20"/>
                <w:szCs w:val="20"/>
              </w:rPr>
              <w:t>Responsa Noda b’Yehuda</w:t>
            </w:r>
            <w:r w:rsidRPr="00AF2C94">
              <w:rPr>
                <w:rFonts w:ascii="Optima" w:hAnsi="Optima" w:cs="Arial"/>
                <w:color w:val="000000"/>
                <w:sz w:val="20"/>
                <w:szCs w:val="20"/>
              </w:rPr>
              <w:t> (First Edition), 161.</w:t>
            </w:r>
          </w:p>
        </w:tc>
        <w:tc>
          <w:tcPr>
            <w:tcW w:w="1625" w:type="dxa"/>
          </w:tcPr>
          <w:p w14:paraId="27A63310"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14407B1E" w14:textId="77777777" w:rsidTr="00BA4D5A">
        <w:tc>
          <w:tcPr>
            <w:tcW w:w="840" w:type="dxa"/>
          </w:tcPr>
          <w:p w14:paraId="123228BE"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10</w:t>
            </w:r>
          </w:p>
        </w:tc>
        <w:tc>
          <w:tcPr>
            <w:tcW w:w="1739" w:type="dxa"/>
          </w:tcPr>
          <w:p w14:paraId="2951CA15"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The Ethical Dilemma of Esther; Rape by Fraud, Coercion and Consent</w:t>
            </w:r>
          </w:p>
          <w:p w14:paraId="41C23EED"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53F4E5E2"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7523FC7E" w14:textId="77777777" w:rsidR="00426F0B" w:rsidRPr="00AF2C94" w:rsidRDefault="00426F0B" w:rsidP="00BA4D5A">
            <w:pPr>
              <w:numPr>
                <w:ilvl w:val="0"/>
                <w:numId w:val="13"/>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Rabbi Jacob Ettlinger, </w:t>
            </w:r>
            <w:r w:rsidRPr="00AF2C94">
              <w:rPr>
                <w:rFonts w:ascii="Optima" w:hAnsi="Optima" w:cs="Arial"/>
                <w:i/>
                <w:iCs/>
                <w:color w:val="000000"/>
                <w:sz w:val="20"/>
                <w:szCs w:val="20"/>
              </w:rPr>
              <w:t>Responsa Binyan Zion</w:t>
            </w:r>
            <w:r w:rsidRPr="00AF2C94">
              <w:rPr>
                <w:rFonts w:ascii="Optima" w:hAnsi="Optima" w:cs="Arial"/>
                <w:color w:val="000000"/>
                <w:sz w:val="20"/>
                <w:szCs w:val="20"/>
              </w:rPr>
              <w:t> 154.</w:t>
            </w:r>
          </w:p>
          <w:p w14:paraId="009A7579" w14:textId="77777777" w:rsidR="00426F0B" w:rsidRPr="00AF2C94" w:rsidRDefault="00426F0B" w:rsidP="00BA4D5A">
            <w:pPr>
              <w:numPr>
                <w:ilvl w:val="0"/>
                <w:numId w:val="13"/>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Sanhedrin74b</w:t>
            </w:r>
          </w:p>
          <w:p w14:paraId="409954A3"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5550B51A"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2E6D3385" w14:textId="77777777" w:rsidTr="00BA4D5A">
        <w:tc>
          <w:tcPr>
            <w:tcW w:w="840" w:type="dxa"/>
          </w:tcPr>
          <w:p w14:paraId="08BFEB1E"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11</w:t>
            </w:r>
          </w:p>
        </w:tc>
        <w:tc>
          <w:tcPr>
            <w:tcW w:w="1739" w:type="dxa"/>
          </w:tcPr>
          <w:p w14:paraId="45ABA0BC" w14:textId="77777777" w:rsidR="00426F0B" w:rsidRPr="00AF2C94" w:rsidRDefault="00426F0B" w:rsidP="00BA4D5A">
            <w:p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Honoring and Caring for Parents with Dementia</w:t>
            </w:r>
          </w:p>
          <w:p w14:paraId="64422708" w14:textId="77777777" w:rsidR="00426F0B" w:rsidRPr="00AF2C94" w:rsidRDefault="00426F0B" w:rsidP="00BA4D5A">
            <w:pPr>
              <w:spacing w:line="276" w:lineRule="auto"/>
              <w:jc w:val="both"/>
              <w:rPr>
                <w:rFonts w:ascii="Optima" w:hAnsi="Optima"/>
                <w:color w:val="004229"/>
                <w:sz w:val="20"/>
                <w:szCs w:val="20"/>
              </w:rPr>
            </w:pPr>
          </w:p>
        </w:tc>
        <w:tc>
          <w:tcPr>
            <w:tcW w:w="1196" w:type="dxa"/>
          </w:tcPr>
          <w:p w14:paraId="58E05CD5"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32564C0B" w14:textId="77777777" w:rsidR="00426F0B" w:rsidRPr="00AF2C94" w:rsidRDefault="00426F0B" w:rsidP="00BA4D5A">
            <w:pPr>
              <w:numPr>
                <w:ilvl w:val="0"/>
                <w:numId w:val="14"/>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Kedushin 31b</w:t>
            </w:r>
          </w:p>
          <w:p w14:paraId="33B014B8" w14:textId="77777777" w:rsidR="00426F0B" w:rsidRPr="00AF2C94" w:rsidRDefault="00426F0B" w:rsidP="00BA4D5A">
            <w:pPr>
              <w:numPr>
                <w:ilvl w:val="0"/>
                <w:numId w:val="14"/>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Rambam Mishna Torah </w:t>
            </w:r>
            <w:r w:rsidRPr="00AF2C94">
              <w:rPr>
                <w:rFonts w:ascii="Optima" w:hAnsi="Optima" w:cs="Arial"/>
                <w:i/>
                <w:iCs/>
                <w:color w:val="000000"/>
                <w:sz w:val="20"/>
                <w:szCs w:val="20"/>
              </w:rPr>
              <w:t>Mamrim</w:t>
            </w:r>
            <w:r w:rsidRPr="00AF2C94">
              <w:rPr>
                <w:rFonts w:ascii="Optima" w:hAnsi="Optima" w:cs="Arial"/>
                <w:color w:val="000000"/>
                <w:sz w:val="20"/>
                <w:szCs w:val="20"/>
              </w:rPr>
              <w:t> 6:10</w:t>
            </w:r>
          </w:p>
          <w:p w14:paraId="05179EB4"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76301A48"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r w:rsidR="00426F0B" w14:paraId="0285F270" w14:textId="77777777" w:rsidTr="00BA4D5A">
        <w:tc>
          <w:tcPr>
            <w:tcW w:w="840" w:type="dxa"/>
          </w:tcPr>
          <w:p w14:paraId="2E5E366E" w14:textId="77777777" w:rsidR="00426F0B" w:rsidRDefault="00426F0B" w:rsidP="00BA4D5A">
            <w:pPr>
              <w:spacing w:line="276" w:lineRule="auto"/>
              <w:jc w:val="center"/>
              <w:rPr>
                <w:rFonts w:asciiTheme="minorBidi" w:hAnsiTheme="minorBidi"/>
                <w:color w:val="004229"/>
                <w:sz w:val="22"/>
                <w:szCs w:val="22"/>
              </w:rPr>
            </w:pPr>
            <w:r>
              <w:rPr>
                <w:rFonts w:asciiTheme="minorBidi" w:hAnsiTheme="minorBidi"/>
                <w:color w:val="004229"/>
                <w:sz w:val="22"/>
                <w:szCs w:val="22"/>
              </w:rPr>
              <w:t>12</w:t>
            </w:r>
          </w:p>
        </w:tc>
        <w:tc>
          <w:tcPr>
            <w:tcW w:w="1739" w:type="dxa"/>
          </w:tcPr>
          <w:p w14:paraId="6F5AEDE1"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s="Arial"/>
                <w:color w:val="000000"/>
                <w:sz w:val="20"/>
                <w:szCs w:val="20"/>
              </w:rPr>
              <w:t>Honoring and Caring for Wicked Parents</w:t>
            </w:r>
            <w:r w:rsidRPr="00AF2C94">
              <w:rPr>
                <w:rFonts w:ascii="Optima" w:hAnsi="Optima"/>
                <w:color w:val="004229"/>
                <w:sz w:val="20"/>
                <w:szCs w:val="20"/>
              </w:rPr>
              <w:t xml:space="preserve"> </w:t>
            </w:r>
          </w:p>
        </w:tc>
        <w:tc>
          <w:tcPr>
            <w:tcW w:w="1196" w:type="dxa"/>
          </w:tcPr>
          <w:p w14:paraId="0E64BB5D"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3D27"/>
                <w:sz w:val="20"/>
                <w:szCs w:val="20"/>
                <w:lang w:val="en"/>
              </w:rPr>
              <w:t>Collaborative learning</w:t>
            </w:r>
          </w:p>
        </w:tc>
        <w:tc>
          <w:tcPr>
            <w:tcW w:w="4376" w:type="dxa"/>
          </w:tcPr>
          <w:p w14:paraId="4974A48B" w14:textId="77777777" w:rsidR="00426F0B" w:rsidRPr="00AF2C94" w:rsidRDefault="00426F0B" w:rsidP="00BA4D5A">
            <w:pPr>
              <w:numPr>
                <w:ilvl w:val="0"/>
                <w:numId w:val="1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Yevamot 22a</w:t>
            </w:r>
          </w:p>
          <w:p w14:paraId="1AD94675" w14:textId="77777777" w:rsidR="00426F0B" w:rsidRPr="00AF2C94" w:rsidRDefault="00426F0B" w:rsidP="00BA4D5A">
            <w:pPr>
              <w:numPr>
                <w:ilvl w:val="0"/>
                <w:numId w:val="15"/>
              </w:numPr>
              <w:shd w:val="clear" w:color="auto" w:fill="EEEEEE"/>
              <w:spacing w:before="100" w:beforeAutospacing="1" w:after="100" w:afterAutospacing="1"/>
              <w:jc w:val="both"/>
              <w:rPr>
                <w:rFonts w:ascii="Optima" w:hAnsi="Optima" w:cs="Arial"/>
                <w:color w:val="000000"/>
                <w:sz w:val="20"/>
                <w:szCs w:val="20"/>
              </w:rPr>
            </w:pPr>
            <w:r w:rsidRPr="00AF2C94">
              <w:rPr>
                <w:rFonts w:ascii="Optima" w:hAnsi="Optima" w:cs="Arial"/>
                <w:color w:val="000000"/>
                <w:sz w:val="20"/>
                <w:szCs w:val="20"/>
              </w:rPr>
              <w:t>Talmud Bavli Bava Kamma 24b</w:t>
            </w:r>
          </w:p>
          <w:p w14:paraId="1C70C7CE" w14:textId="77777777" w:rsidR="00426F0B" w:rsidRPr="00AF2C94" w:rsidRDefault="00426F0B" w:rsidP="00BA4D5A">
            <w:pPr>
              <w:spacing w:line="276" w:lineRule="auto"/>
              <w:jc w:val="both"/>
              <w:rPr>
                <w:rFonts w:ascii="Optima" w:hAnsi="Optima"/>
                <w:color w:val="004229"/>
                <w:sz w:val="20"/>
                <w:szCs w:val="20"/>
              </w:rPr>
            </w:pPr>
          </w:p>
        </w:tc>
        <w:tc>
          <w:tcPr>
            <w:tcW w:w="1625" w:type="dxa"/>
          </w:tcPr>
          <w:p w14:paraId="2DADE063" w14:textId="77777777" w:rsidR="00426F0B" w:rsidRPr="00AF2C94" w:rsidRDefault="00426F0B" w:rsidP="00BA4D5A">
            <w:pPr>
              <w:spacing w:line="276" w:lineRule="auto"/>
              <w:jc w:val="both"/>
              <w:rPr>
                <w:rFonts w:ascii="Optima" w:hAnsi="Optima"/>
                <w:color w:val="004229"/>
                <w:sz w:val="20"/>
                <w:szCs w:val="20"/>
              </w:rPr>
            </w:pPr>
            <w:r w:rsidRPr="00AF2C94">
              <w:rPr>
                <w:rFonts w:ascii="Optima" w:hAnsi="Optima"/>
                <w:color w:val="004229"/>
                <w:sz w:val="20"/>
                <w:szCs w:val="20"/>
                <w:lang w:val="en-US"/>
              </w:rPr>
              <w:t>Written assignment</w:t>
            </w:r>
          </w:p>
        </w:tc>
      </w:tr>
    </w:tbl>
    <w:p w14:paraId="67B25634" w14:textId="77777777" w:rsidR="00426F0B" w:rsidRDefault="00426F0B" w:rsidP="00426F0B">
      <w:pPr>
        <w:spacing w:line="276" w:lineRule="auto"/>
        <w:rPr>
          <w:color w:val="004229"/>
          <w:sz w:val="22"/>
          <w:szCs w:val="22"/>
          <w:rtl/>
          <w:lang w:val="en"/>
        </w:rPr>
      </w:pPr>
    </w:p>
    <w:p w14:paraId="3FA1E67B" w14:textId="77777777" w:rsidR="00426F0B" w:rsidRDefault="00426F0B" w:rsidP="00426F0B">
      <w:pPr>
        <w:spacing w:line="276" w:lineRule="auto"/>
        <w:rPr>
          <w:rFonts w:asciiTheme="minorBidi" w:hAnsiTheme="minorBidi"/>
          <w:color w:val="004229"/>
          <w:sz w:val="22"/>
          <w:szCs w:val="22"/>
          <w:rtl/>
        </w:rPr>
      </w:pPr>
      <w:r>
        <w:rPr>
          <w:color w:val="004229"/>
          <w:sz w:val="22"/>
          <w:szCs w:val="22"/>
          <w:lang w:val="en"/>
        </w:rPr>
        <w:t>* There may be changes in the syllabus depending on learning progress and effectiveness</w:t>
      </w:r>
    </w:p>
    <w:p w14:paraId="4113C224" w14:textId="77777777" w:rsidR="00426F0B" w:rsidRDefault="00426F0B" w:rsidP="00426F0B">
      <w:pPr>
        <w:spacing w:line="276" w:lineRule="auto"/>
        <w:rPr>
          <w:b/>
          <w:bCs/>
          <w:color w:val="004229"/>
          <w:sz w:val="28"/>
          <w:szCs w:val="28"/>
          <w:lang w:val="en"/>
        </w:rPr>
      </w:pPr>
    </w:p>
    <w:p w14:paraId="2E0BC788" w14:textId="77777777" w:rsidR="00426F0B" w:rsidRPr="00307AC9" w:rsidRDefault="00426F0B" w:rsidP="00426F0B">
      <w:pPr>
        <w:spacing w:line="276" w:lineRule="auto"/>
        <w:rPr>
          <w:rFonts w:asciiTheme="minorBidi" w:hAnsiTheme="minorBidi"/>
          <w:color w:val="3B3838" w:themeColor="background2" w:themeShade="40"/>
          <w:sz w:val="21"/>
          <w:szCs w:val="21"/>
          <w:rtl/>
        </w:rPr>
      </w:pPr>
      <w:r w:rsidRPr="00303E78">
        <w:rPr>
          <w:b/>
          <w:noProof/>
          <w:color w:val="004229"/>
          <w:sz w:val="28"/>
          <w:szCs w:val="28"/>
          <w:lang w:val="en"/>
        </w:rPr>
        <w:drawing>
          <wp:inline distT="0" distB="0" distL="0" distR="0" wp14:anchorId="17E23EB7" wp14:editId="5D8CBB62">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44226" cy="444226"/>
                    </a:xfrm>
                    <a:prstGeom prst="rect">
                      <a:avLst/>
                    </a:prstGeom>
                  </pic:spPr>
                </pic:pic>
              </a:graphicData>
            </a:graphic>
          </wp:inline>
        </w:drawing>
      </w:r>
      <w:r w:rsidRPr="00303E78">
        <w:rPr>
          <w:b/>
          <w:bCs/>
          <w:color w:val="004229"/>
          <w:sz w:val="28"/>
          <w:szCs w:val="28"/>
          <w:lang w:val="en"/>
        </w:rPr>
        <w:t>Final grade</w:t>
      </w:r>
      <w:r w:rsidRPr="00303E78">
        <w:rPr>
          <w:sz w:val="22"/>
          <w:szCs w:val="22"/>
          <w:lang w:val="en"/>
        </w:rPr>
        <w:tab/>
      </w:r>
    </w:p>
    <w:p w14:paraId="14F267D4" w14:textId="77777777" w:rsidR="00426F0B" w:rsidRPr="00252C11" w:rsidRDefault="00426F0B" w:rsidP="00426F0B">
      <w:pPr>
        <w:numPr>
          <w:ilvl w:val="0"/>
          <w:numId w:val="1"/>
        </w:numPr>
        <w:spacing w:before="100" w:beforeAutospacing="1" w:after="100" w:afterAutospacing="1"/>
        <w:jc w:val="both"/>
        <w:rPr>
          <w:rFonts w:ascii="Arial" w:hAnsi="Arial" w:cs="Arial"/>
          <w:color w:val="000000"/>
        </w:rPr>
      </w:pPr>
      <w:r w:rsidRPr="00252C11">
        <w:rPr>
          <w:color w:val="000000"/>
          <w:sz w:val="28"/>
          <w:szCs w:val="28"/>
        </w:rPr>
        <w:t>Weekly assignments – based on the work covered in class – 50% of the grade </w:t>
      </w:r>
    </w:p>
    <w:p w14:paraId="3285E511" w14:textId="77777777" w:rsidR="00426F0B" w:rsidRPr="00252C11" w:rsidRDefault="00426F0B" w:rsidP="00426F0B">
      <w:pPr>
        <w:numPr>
          <w:ilvl w:val="0"/>
          <w:numId w:val="1"/>
        </w:numPr>
        <w:spacing w:before="100" w:beforeAutospacing="1" w:after="100" w:afterAutospacing="1"/>
        <w:jc w:val="both"/>
        <w:rPr>
          <w:rFonts w:ascii="Arial" w:hAnsi="Arial" w:cs="Arial"/>
          <w:color w:val="000000"/>
        </w:rPr>
      </w:pPr>
      <w:r w:rsidRPr="00252C11">
        <w:rPr>
          <w:color w:val="000000"/>
          <w:sz w:val="28"/>
          <w:szCs w:val="28"/>
        </w:rPr>
        <w:t>Final exam – 50% of the grade</w:t>
      </w:r>
    </w:p>
    <w:p w14:paraId="55B187BA" w14:textId="77777777" w:rsidR="00426F0B" w:rsidRDefault="00426F0B" w:rsidP="00426F0B">
      <w:pPr>
        <w:spacing w:line="276" w:lineRule="auto"/>
        <w:rPr>
          <w:b/>
          <w:bCs/>
          <w:color w:val="004229"/>
          <w:sz w:val="28"/>
          <w:szCs w:val="28"/>
          <w:rtl/>
          <w:lang w:val="en"/>
        </w:rPr>
      </w:pPr>
    </w:p>
    <w:p w14:paraId="16B0E083" w14:textId="77777777" w:rsidR="00426F0B" w:rsidRDefault="00426F0B" w:rsidP="00426F0B">
      <w:pPr>
        <w:spacing w:line="276" w:lineRule="auto"/>
        <w:rPr>
          <w:b/>
          <w:bCs/>
          <w:color w:val="004229"/>
          <w:sz w:val="28"/>
          <w:szCs w:val="28"/>
          <w:rtl/>
          <w:lang w:val="en"/>
        </w:rPr>
      </w:pPr>
    </w:p>
    <w:p w14:paraId="1AA1B152" w14:textId="77777777" w:rsidR="00426F0B" w:rsidRPr="00303E78" w:rsidRDefault="00426F0B" w:rsidP="00426F0B">
      <w:pPr>
        <w:spacing w:line="276" w:lineRule="auto"/>
        <w:rPr>
          <w:rFonts w:asciiTheme="minorBidi" w:hAnsiTheme="minorBidi"/>
          <w:b/>
          <w:bCs/>
          <w:color w:val="004229"/>
          <w:sz w:val="28"/>
          <w:szCs w:val="28"/>
          <w:rtl/>
        </w:rPr>
      </w:pPr>
      <w:r w:rsidRPr="00303E78">
        <w:rPr>
          <w:noProof/>
          <w:sz w:val="22"/>
          <w:szCs w:val="22"/>
          <w:lang w:val="en"/>
        </w:rPr>
        <w:drawing>
          <wp:inline distT="0" distB="0" distL="0" distR="0" wp14:anchorId="7AFD94AF" wp14:editId="6D3E07F7">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59107" cy="459107"/>
                    </a:xfrm>
                    <a:prstGeom prst="rect">
                      <a:avLst/>
                    </a:prstGeom>
                  </pic:spPr>
                </pic:pic>
              </a:graphicData>
            </a:graphic>
          </wp:inline>
        </w:drawing>
      </w:r>
      <w:r w:rsidRPr="00303E78">
        <w:rPr>
          <w:b/>
          <w:bCs/>
          <w:color w:val="004229"/>
          <w:sz w:val="28"/>
          <w:szCs w:val="28"/>
          <w:lang w:val="en"/>
        </w:rPr>
        <w:t>Course</w:t>
      </w:r>
      <w:r>
        <w:rPr>
          <w:lang w:val="en"/>
        </w:rPr>
        <w:t xml:space="preserve"> requirements</w:t>
      </w:r>
    </w:p>
    <w:p w14:paraId="481C6550" w14:textId="77777777" w:rsidR="00426F0B" w:rsidRPr="00252C11" w:rsidRDefault="00426F0B" w:rsidP="00426F0B">
      <w:pPr>
        <w:spacing w:before="100" w:beforeAutospacing="1" w:after="100" w:afterAutospacing="1"/>
        <w:rPr>
          <w:rFonts w:ascii="Arial" w:hAnsi="Arial" w:cs="Arial"/>
          <w:color w:val="000000"/>
        </w:rPr>
      </w:pPr>
      <w:r w:rsidRPr="00252C11">
        <w:rPr>
          <w:rFonts w:ascii="Arial" w:hAnsi="Arial" w:cs="Arial"/>
          <w:i/>
          <w:iCs/>
          <w:color w:val="000000"/>
        </w:rPr>
        <w:t>Course requirements: attendance to frontal lecture, preparation, and mastery of basic texts. </w:t>
      </w:r>
    </w:p>
    <w:p w14:paraId="046795B1" w14:textId="77777777" w:rsidR="00426F0B" w:rsidRPr="00307AC9" w:rsidRDefault="00426F0B" w:rsidP="00426F0B">
      <w:pPr>
        <w:spacing w:line="276" w:lineRule="auto"/>
        <w:rPr>
          <w:rFonts w:asciiTheme="minorBidi" w:hAnsiTheme="minorBidi"/>
          <w:b/>
          <w:bCs/>
          <w:color w:val="004229"/>
          <w:sz w:val="28"/>
          <w:szCs w:val="28"/>
          <w:rtl/>
        </w:rPr>
      </w:pPr>
      <w:r w:rsidRPr="00303E78">
        <w:rPr>
          <w:noProof/>
          <w:sz w:val="22"/>
          <w:szCs w:val="22"/>
          <w:lang w:val="en"/>
        </w:rPr>
        <w:drawing>
          <wp:inline distT="0" distB="0" distL="0" distR="0" wp14:anchorId="7FC47B73" wp14:editId="2FC0DA32">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 xml:space="preserve"> Prerequisites</w:t>
      </w:r>
    </w:p>
    <w:p w14:paraId="14E662CC" w14:textId="77777777" w:rsidR="00426F0B" w:rsidRDefault="00426F0B" w:rsidP="00426F0B">
      <w:r>
        <w:t>Ability to deal with basic rabbinic texts in Hebrew of translation.</w:t>
      </w:r>
    </w:p>
    <w:p w14:paraId="6568E820" w14:textId="77777777" w:rsidR="00426F0B" w:rsidRDefault="00426F0B" w:rsidP="00426F0B">
      <w:pPr>
        <w:rPr>
          <w:rFonts w:asciiTheme="minorBidi" w:hAnsiTheme="minorBidi"/>
          <w:rtl/>
        </w:rPr>
      </w:pPr>
      <w:r>
        <w:rPr>
          <w:noProof/>
          <w:color w:val="004229"/>
          <w:sz w:val="28"/>
          <w:szCs w:val="28"/>
          <w:lang w:val="en"/>
        </w:rPr>
        <w:drawing>
          <wp:anchor distT="0" distB="0" distL="114300" distR="114300" simplePos="0" relativeHeight="251660288" behindDoc="0" locked="0" layoutInCell="1" allowOverlap="1" wp14:anchorId="147F8DE7" wp14:editId="7C73934F">
            <wp:simplePos x="0" y="0"/>
            <wp:positionH relativeFrom="column">
              <wp:posOffset>5528945</wp:posOffset>
            </wp:positionH>
            <wp:positionV relativeFrom="paragraph">
              <wp:posOffset>12310</wp:posOffset>
            </wp:positionV>
            <wp:extent cx="445770" cy="445770"/>
            <wp:effectExtent l="0" t="0" r="0" b="0"/>
            <wp:wrapThrough wrapText="bothSides">
              <wp:wrapPolygon edited="0">
                <wp:start x="8000" y="1846"/>
                <wp:lineTo x="4308" y="4923"/>
                <wp:lineTo x="1231" y="9231"/>
                <wp:lineTo x="1231" y="14154"/>
                <wp:lineTo x="3692" y="19692"/>
                <wp:lineTo x="16615" y="19692"/>
                <wp:lineTo x="17846" y="18462"/>
                <wp:lineTo x="19692" y="14154"/>
                <wp:lineTo x="20308" y="9846"/>
                <wp:lineTo x="16615" y="4923"/>
                <wp:lineTo x="12923" y="1846"/>
                <wp:lineTo x="8000" y="1846"/>
              </wp:wrapPolygon>
            </wp:wrapThrough>
            <wp:docPr id="12" name="Graphic 12" descr="Headpho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Headphones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45770" cy="445770"/>
                    </a:xfrm>
                    <a:prstGeom prst="rect">
                      <a:avLst/>
                    </a:prstGeom>
                  </pic:spPr>
                </pic:pic>
              </a:graphicData>
            </a:graphic>
            <wp14:sizeRelH relativeFrom="margin">
              <wp14:pctWidth>0</wp14:pctWidth>
            </wp14:sizeRelH>
            <wp14:sizeRelV relativeFrom="margin">
              <wp14:pctHeight>0</wp14:pctHeight>
            </wp14:sizeRelV>
          </wp:anchor>
        </w:drawing>
      </w:r>
    </w:p>
    <w:p w14:paraId="049E006D" w14:textId="77777777" w:rsidR="00426F0B" w:rsidRPr="00307AC9" w:rsidRDefault="00426F0B" w:rsidP="00426F0B">
      <w:pPr>
        <w:spacing w:line="276" w:lineRule="auto"/>
        <w:rPr>
          <w:rFonts w:asciiTheme="minorBidi" w:hAnsiTheme="minorBidi"/>
          <w:b/>
          <w:bCs/>
          <w:color w:val="004229"/>
          <w:sz w:val="28"/>
          <w:szCs w:val="28"/>
          <w:rtl/>
        </w:rPr>
      </w:pPr>
      <w:r w:rsidRPr="00303E78">
        <w:rPr>
          <w:b/>
          <w:bCs/>
          <w:color w:val="004229"/>
          <w:sz w:val="28"/>
          <w:szCs w:val="28"/>
          <w:lang w:val="en"/>
        </w:rPr>
        <w:t>Bibliography:</w:t>
      </w:r>
      <w:r>
        <w:rPr>
          <w:b/>
          <w:bCs/>
          <w:color w:val="004229"/>
          <w:sz w:val="28"/>
          <w:szCs w:val="28"/>
          <w:lang w:val="en"/>
        </w:rPr>
        <w:t xml:space="preserve"> </w:t>
      </w:r>
      <w:r w:rsidRPr="00303E78">
        <w:rPr>
          <w:b/>
          <w:bCs/>
          <w:color w:val="004229"/>
          <w:sz w:val="28"/>
          <w:szCs w:val="28"/>
          <w:lang w:val="en"/>
        </w:rPr>
        <w:t>Up-to-date</w:t>
      </w:r>
      <w:r>
        <w:rPr>
          <w:lang w:val="en"/>
        </w:rPr>
        <w:t xml:space="preserve"> </w:t>
      </w:r>
      <w:r w:rsidRPr="00303E78">
        <w:rPr>
          <w:b/>
          <w:bCs/>
          <w:color w:val="004229"/>
          <w:sz w:val="28"/>
          <w:szCs w:val="28"/>
          <w:lang w:val="en"/>
        </w:rPr>
        <w:t>reading, viewing, and listening</w:t>
      </w:r>
      <w:r>
        <w:rPr>
          <w:b/>
          <w:bCs/>
          <w:color w:val="004229"/>
          <w:sz w:val="28"/>
          <w:szCs w:val="28"/>
          <w:lang w:val="en"/>
        </w:rPr>
        <w:t xml:space="preserve"> content items</w:t>
      </w:r>
    </w:p>
    <w:p w14:paraId="3C82FF2F" w14:textId="77777777" w:rsidR="00426F0B" w:rsidRDefault="00426F0B" w:rsidP="00426F0B">
      <w:pPr>
        <w:spacing w:line="276" w:lineRule="auto"/>
        <w:rPr>
          <w:rFonts w:asciiTheme="minorBidi" w:hAnsiTheme="minorBidi"/>
          <w:rtl/>
        </w:rPr>
      </w:pPr>
    </w:p>
    <w:p w14:paraId="088480A6" w14:textId="77777777" w:rsidR="00426F0B" w:rsidRPr="00190C4E" w:rsidRDefault="00426F0B" w:rsidP="00426F0B">
      <w:pPr>
        <w:shd w:val="clear" w:color="auto" w:fill="EEEEEE"/>
        <w:rPr>
          <w:rFonts w:ascii="Arial" w:hAnsi="Arial" w:cs="Arial"/>
          <w:b/>
          <w:bCs/>
          <w:color w:val="000000"/>
          <w:sz w:val="27"/>
          <w:szCs w:val="27"/>
        </w:rPr>
      </w:pPr>
      <w:r w:rsidRPr="00190C4E">
        <w:rPr>
          <w:rFonts w:ascii="Arial" w:hAnsi="Arial" w:cs="Arial"/>
          <w:b/>
          <w:bCs/>
          <w:i/>
          <w:iCs/>
          <w:color w:val="000000"/>
          <w:sz w:val="27"/>
          <w:szCs w:val="27"/>
          <w:u w:val="single"/>
        </w:rPr>
        <w:t>Bibliography; Reading Selections</w:t>
      </w:r>
    </w:p>
    <w:p w14:paraId="5E481A39" w14:textId="77777777" w:rsidR="00426F0B" w:rsidRPr="00190C4E" w:rsidRDefault="00426F0B" w:rsidP="00426F0B">
      <w:pPr>
        <w:shd w:val="clear" w:color="auto" w:fill="EEEEEE"/>
        <w:spacing w:before="100" w:beforeAutospacing="1" w:after="100" w:afterAutospacing="1"/>
        <w:rPr>
          <w:rFonts w:ascii="Arial" w:hAnsi="Arial" w:cs="Arial"/>
          <w:color w:val="000000"/>
        </w:rPr>
      </w:pPr>
      <w:r w:rsidRPr="00190C4E">
        <w:rPr>
          <w:rFonts w:ascii="Arial" w:hAnsi="Arial" w:cs="Arial"/>
          <w:b/>
          <w:bCs/>
          <w:color w:val="000000"/>
          <w:u w:val="single"/>
        </w:rPr>
        <w:t>Select Bibliography</w:t>
      </w:r>
    </w:p>
    <w:p w14:paraId="0F22E636" w14:textId="77777777" w:rsidR="00426F0B" w:rsidRPr="00190C4E" w:rsidRDefault="00426F0B" w:rsidP="00426F0B">
      <w:pPr>
        <w:shd w:val="clear" w:color="auto" w:fill="EEEEEE"/>
        <w:spacing w:before="100" w:beforeAutospacing="1" w:after="100" w:afterAutospacing="1"/>
        <w:rPr>
          <w:rFonts w:ascii="Arial" w:hAnsi="Arial" w:cs="Arial"/>
          <w:color w:val="000000"/>
        </w:rPr>
      </w:pPr>
      <w:r w:rsidRPr="00190C4E">
        <w:rPr>
          <w:rFonts w:ascii="Arial" w:hAnsi="Arial" w:cs="Arial"/>
          <w:color w:val="000000"/>
        </w:rPr>
        <w:t> </w:t>
      </w:r>
    </w:p>
    <w:p w14:paraId="48E64F80"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Amsel, Norman, </w:t>
      </w:r>
      <w:r w:rsidRPr="00190C4E">
        <w:rPr>
          <w:rFonts w:ascii="Arial" w:hAnsi="Arial" w:cs="Arial"/>
          <w:color w:val="000000"/>
          <w:u w:val="single"/>
        </w:rPr>
        <w:t>The Jewish Encyclopedia of Moral and Ethical Issues</w:t>
      </w:r>
      <w:r w:rsidRPr="00190C4E">
        <w:rPr>
          <w:rFonts w:ascii="Arial" w:hAnsi="Arial" w:cs="Arial"/>
          <w:color w:val="000000"/>
        </w:rPr>
        <w:t> (1994: Aronson).</w:t>
      </w:r>
    </w:p>
    <w:p w14:paraId="4684CFF2"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Bleich, J. David, </w:t>
      </w:r>
      <w:r w:rsidRPr="00190C4E">
        <w:rPr>
          <w:rFonts w:ascii="Arial" w:hAnsi="Arial" w:cs="Arial"/>
          <w:color w:val="000000"/>
          <w:u w:val="single"/>
        </w:rPr>
        <w:t>Contemporary Halakhic Problems, </w:t>
      </w:r>
      <w:r w:rsidRPr="00190C4E">
        <w:rPr>
          <w:rFonts w:ascii="Arial" w:hAnsi="Arial" w:cs="Arial"/>
          <w:color w:val="000000"/>
        </w:rPr>
        <w:t>Volumes 1-5 (1983: Ktav).</w:t>
      </w:r>
    </w:p>
    <w:p w14:paraId="702A46B6"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Blidstein, Gerald J. “The redemption of captives in halakhic tradition: problems and policy” Organizing Rescue; National Jewish Solidarity in the Modern Period. Ed. by Selwyn Ilan Troen and Benjamin Pinkus. London: Frank Cass, 1992 pages, 20-31</w:t>
      </w:r>
    </w:p>
    <w:p w14:paraId="20E79F1E"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Broyde, Michael, </w:t>
      </w:r>
      <w:r w:rsidRPr="00190C4E">
        <w:rPr>
          <w:rFonts w:ascii="Arial" w:hAnsi="Arial" w:cs="Arial"/>
          <w:color w:val="000000"/>
          <w:u w:val="single"/>
        </w:rPr>
        <w:t>Jews, Public Policy and Civil Rights: A Religious Jewish Perspective</w:t>
      </w:r>
    </w:p>
    <w:p w14:paraId="70D0040F"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Dewey, J. “The Historic Background of Corporate Legal Personality,” </w:t>
      </w:r>
      <w:r w:rsidRPr="00190C4E">
        <w:rPr>
          <w:rFonts w:ascii="Arial" w:hAnsi="Arial" w:cs="Arial"/>
          <w:color w:val="000000"/>
          <w:u w:val="single"/>
        </w:rPr>
        <w:t>Yale Law Journal</w:t>
      </w:r>
      <w:r w:rsidRPr="00190C4E">
        <w:rPr>
          <w:rFonts w:ascii="Arial" w:hAnsi="Arial" w:cs="Arial"/>
          <w:color w:val="000000"/>
        </w:rPr>
        <w:t>, Vol. XXXV, April 1926, pages 655-673.</w:t>
      </w:r>
    </w:p>
    <w:p w14:paraId="77389C32"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Dratch, M, “Honoring Abusive Parents,” Hakira 12 (Fall 2011), pp. 105-119.</w:t>
      </w:r>
    </w:p>
    <w:p w14:paraId="51CD27F8"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Feldman, David M., </w:t>
      </w:r>
      <w:r w:rsidRPr="00190C4E">
        <w:rPr>
          <w:rFonts w:ascii="Arial" w:hAnsi="Arial" w:cs="Arial"/>
          <w:color w:val="000000"/>
          <w:u w:val="single"/>
        </w:rPr>
        <w:t>Marital Relations, Birth Control, and Abortion in Jewish Law</w:t>
      </w:r>
      <w:r w:rsidRPr="00190C4E">
        <w:rPr>
          <w:rFonts w:ascii="Arial" w:hAnsi="Arial" w:cs="Arial"/>
          <w:color w:val="000000"/>
        </w:rPr>
        <w:t> (1974: Schocken Books).</w:t>
      </w:r>
    </w:p>
    <w:p w14:paraId="46832E09"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Dundes, Alan, </w:t>
      </w:r>
      <w:r w:rsidRPr="00190C4E">
        <w:rPr>
          <w:rFonts w:ascii="Arial" w:hAnsi="Arial" w:cs="Arial"/>
          <w:color w:val="000000"/>
          <w:u w:val="single"/>
        </w:rPr>
        <w:t>The Shabbat Elevator and other Sabbath Subterfuges</w:t>
      </w:r>
      <w:r w:rsidRPr="00190C4E">
        <w:rPr>
          <w:rFonts w:ascii="Arial" w:hAnsi="Arial" w:cs="Arial"/>
          <w:color w:val="000000"/>
        </w:rPr>
        <w:t> (2002 Rowman &amp; Littlefield)</w:t>
      </w:r>
    </w:p>
    <w:p w14:paraId="3189DA0D"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Ferziger, A.S. “From Demonic Deviant to Drowning Brother: Reform Judaism in the Eyes of Orthodoxy (1983-2007)," </w:t>
      </w:r>
      <w:r w:rsidRPr="00190C4E">
        <w:rPr>
          <w:rFonts w:ascii="Arial" w:hAnsi="Arial" w:cs="Arial"/>
          <w:color w:val="000000"/>
          <w:u w:val="single"/>
        </w:rPr>
        <w:t>Jewish Social Studies</w:t>
      </w:r>
      <w:r w:rsidRPr="00190C4E">
        <w:rPr>
          <w:rFonts w:ascii="Arial" w:hAnsi="Arial" w:cs="Arial"/>
          <w:color w:val="000000"/>
        </w:rPr>
        <w:t> 15, 3 (Spring/Summer 2009), 56-88.</w:t>
      </w:r>
    </w:p>
    <w:p w14:paraId="107EE2D7"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Ferziger, A.S. (2012) “Ashes to Outcasts: Cremation, Jewish Law, and Identity in Early Twentieth-Century Germany,” </w:t>
      </w:r>
      <w:r w:rsidRPr="00190C4E">
        <w:rPr>
          <w:rFonts w:ascii="Arial" w:hAnsi="Arial" w:cs="Arial"/>
          <w:color w:val="000000"/>
          <w:u w:val="single"/>
        </w:rPr>
        <w:t>AJS Review</w:t>
      </w:r>
      <w:r w:rsidRPr="00190C4E">
        <w:rPr>
          <w:rFonts w:ascii="Arial" w:hAnsi="Arial" w:cs="Arial"/>
          <w:color w:val="000000"/>
        </w:rPr>
        <w:t>, 36(1), pp. 71–102.</w:t>
      </w:r>
    </w:p>
    <w:p w14:paraId="6ED11BD5"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Frimer A. A., "Review Essay: Insights into Mourning. A Review of Dr. Joel B. Wolowelsky's The Mind of the Mourner: Individual and Community in Jewish Mourning," Tradition, 44:4 (Winter 2011), pp. 41-46. </w:t>
      </w:r>
    </w:p>
    <w:p w14:paraId="6725B064"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lastRenderedPageBreak/>
        <w:t>Govind Persad, Alan Wertheimer, Ezekiel J Emanuel, “Principles for Allocation of Scarce Medical Interventions,” </w:t>
      </w:r>
      <w:r w:rsidRPr="00190C4E">
        <w:rPr>
          <w:rFonts w:ascii="Arial" w:hAnsi="Arial" w:cs="Arial"/>
          <w:color w:val="000000"/>
          <w:u w:val="single"/>
        </w:rPr>
        <w:t>The Lancet</w:t>
      </w:r>
      <w:r w:rsidRPr="00190C4E">
        <w:rPr>
          <w:rFonts w:ascii="Arial" w:hAnsi="Arial" w:cs="Arial"/>
          <w:color w:val="000000"/>
        </w:rPr>
        <w:t>, Department of Ethics, www.thelancet.com  Vol 373 January 31, 2009.</w:t>
      </w:r>
    </w:p>
    <w:p w14:paraId="2BECC977" w14:textId="77777777" w:rsidR="00426F0B" w:rsidRPr="00190C4E" w:rsidRDefault="00426F0B" w:rsidP="00426F0B">
      <w:pPr>
        <w:numPr>
          <w:ilvl w:val="0"/>
          <w:numId w:val="16"/>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Herring, B., </w:t>
      </w:r>
      <w:r w:rsidRPr="00190C4E">
        <w:rPr>
          <w:rFonts w:ascii="Arial" w:hAnsi="Arial" w:cs="Arial"/>
          <w:color w:val="000000"/>
          <w:u w:val="single"/>
        </w:rPr>
        <w:t>Jewish Ethics and Halakha For Our Time</w:t>
      </w:r>
      <w:r w:rsidRPr="00190C4E">
        <w:rPr>
          <w:rFonts w:ascii="Arial" w:hAnsi="Arial" w:cs="Arial"/>
          <w:color w:val="000000"/>
        </w:rPr>
        <w:t> (1984: Ktav).</w:t>
      </w:r>
    </w:p>
    <w:p w14:paraId="35F9AB9B" w14:textId="77777777" w:rsidR="00426F0B" w:rsidRPr="00190C4E" w:rsidRDefault="00426F0B" w:rsidP="00426F0B">
      <w:pPr>
        <w:shd w:val="clear" w:color="auto" w:fill="EEEEEE"/>
        <w:spacing w:before="100" w:beforeAutospacing="1" w:after="100" w:afterAutospacing="1"/>
        <w:rPr>
          <w:rFonts w:ascii="Arial" w:hAnsi="Arial" w:cs="Arial"/>
          <w:color w:val="000000"/>
        </w:rPr>
      </w:pPr>
      <w:hyperlink r:id="rId19" w:history="1">
        <w:r w:rsidRPr="00190C4E">
          <w:rPr>
            <w:rFonts w:ascii="Arial" w:hAnsi="Arial" w:cs="Arial"/>
            <w:color w:val="0000FF"/>
            <w:u w:val="single"/>
          </w:rPr>
          <w:t>http://www.jlaw.com/Articles/jewspublic.html</w:t>
        </w:r>
      </w:hyperlink>
    </w:p>
    <w:p w14:paraId="463916D3"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Jachter, Chaim “Cosmetic Surgery - A Review of Four Classic Teshuvot- Part 2” </w:t>
      </w:r>
      <w:hyperlink r:id="rId20" w:history="1">
        <w:r w:rsidRPr="00190C4E">
          <w:rPr>
            <w:rFonts w:ascii="Arial" w:hAnsi="Arial" w:cs="Arial"/>
            <w:color w:val="0000FF"/>
            <w:u w:val="single"/>
          </w:rPr>
          <w:t>http://www.koltorah.org/ravj/14-18%20Cosmetic%20Surgery%20-%20A%20Review%20of%20Four%20Classic%20Teshuvot%202.htm</w:t>
        </w:r>
      </w:hyperlink>
    </w:p>
    <w:p w14:paraId="172D7B5D"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Jachter, Chaim, “Cosmetic Surgery - A Review of Four Classic Teshuvot - Part 1” </w:t>
      </w:r>
      <w:hyperlink r:id="rId21" w:history="1">
        <w:r w:rsidRPr="00190C4E">
          <w:rPr>
            <w:rFonts w:ascii="Arial" w:hAnsi="Arial" w:cs="Arial"/>
            <w:color w:val="0000FF"/>
            <w:u w:val="single"/>
          </w:rPr>
          <w:t>http://www.koltorah.org/ravj/14-17%20Cosmetic%20Surgery%20-%20A%20Review%20of%20Four%20Classic%20Teshuvot%201.htm</w:t>
        </w:r>
      </w:hyperlink>
    </w:p>
    <w:p w14:paraId="46E2690A"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Kahn, Ari, </w:t>
      </w:r>
      <w:r w:rsidRPr="00190C4E">
        <w:rPr>
          <w:rFonts w:ascii="Arial" w:hAnsi="Arial" w:cs="Arial"/>
          <w:color w:val="000000"/>
          <w:u w:val="single"/>
        </w:rPr>
        <w:t>Emanations</w:t>
      </w:r>
      <w:r w:rsidRPr="00190C4E">
        <w:rPr>
          <w:rFonts w:ascii="Arial" w:hAnsi="Arial" w:cs="Arial"/>
          <w:color w:val="000000"/>
        </w:rPr>
        <w:t> (2002 Targum Press)</w:t>
      </w:r>
    </w:p>
    <w:p w14:paraId="76E47EB2"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Katz, Jacob, “Exclusiveness and Tolerance,” </w:t>
      </w:r>
      <w:r w:rsidRPr="00190C4E">
        <w:rPr>
          <w:rFonts w:ascii="Arial" w:hAnsi="Arial" w:cs="Arial"/>
          <w:color w:val="000000"/>
          <w:u w:val="single"/>
        </w:rPr>
        <w:t>Studies in Jewish Gentile Relations in Medieval and Modern Times</w:t>
      </w:r>
      <w:r w:rsidRPr="00190C4E">
        <w:rPr>
          <w:rFonts w:ascii="Arial" w:hAnsi="Arial" w:cs="Arial"/>
          <w:color w:val="000000"/>
        </w:rPr>
        <w:t>(1961: Oxford University Press).</w:t>
      </w:r>
    </w:p>
    <w:p w14:paraId="36DD593E"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Mousavi, S. (2010), “The Ethics of Aesthetic Surgery.” </w:t>
      </w:r>
      <w:r w:rsidRPr="00190C4E">
        <w:rPr>
          <w:rFonts w:ascii="Arial" w:hAnsi="Arial" w:cs="Arial"/>
          <w:color w:val="000000"/>
          <w:u w:val="single"/>
        </w:rPr>
        <w:t>Journal of Cutaneous and Aesthetic Surgery</w:t>
      </w:r>
      <w:r w:rsidRPr="00190C4E">
        <w:rPr>
          <w:rFonts w:ascii="Arial" w:hAnsi="Arial" w:cs="Arial"/>
          <w:color w:val="000000"/>
        </w:rPr>
        <w:t>, 3(1), 38–40. </w:t>
      </w:r>
      <w:hyperlink r:id="rId22" w:history="1">
        <w:r w:rsidRPr="00190C4E">
          <w:rPr>
            <w:rFonts w:ascii="Arial" w:hAnsi="Arial" w:cs="Arial"/>
            <w:color w:val="0000FF"/>
            <w:u w:val="single"/>
          </w:rPr>
          <w:t>http://doi.org/10.4103/0974-2077.63396</w:t>
        </w:r>
      </w:hyperlink>
    </w:p>
    <w:p w14:paraId="64B56C9F"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Newman, J., </w:t>
      </w:r>
      <w:r w:rsidRPr="00190C4E">
        <w:rPr>
          <w:rFonts w:ascii="Arial" w:hAnsi="Arial" w:cs="Arial"/>
          <w:color w:val="000000"/>
          <w:u w:val="single"/>
        </w:rPr>
        <w:t>The Dimension of Jewish Ethics</w:t>
      </w:r>
      <w:r w:rsidRPr="00190C4E">
        <w:rPr>
          <w:rFonts w:ascii="Arial" w:hAnsi="Arial" w:cs="Arial"/>
          <w:color w:val="000000"/>
        </w:rPr>
        <w:t> (1987: Council of Young Israel Rabbis).</w:t>
      </w:r>
    </w:p>
    <w:p w14:paraId="1F150C72" w14:textId="77777777" w:rsidR="00426F0B" w:rsidRPr="00190C4E" w:rsidRDefault="00426F0B" w:rsidP="00426F0B">
      <w:pPr>
        <w:numPr>
          <w:ilvl w:val="0"/>
          <w:numId w:val="17"/>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Rozen, Yisrael “The Shabbat Elevator” The Tzomet Institute (found on website no other bibliographic information)</w:t>
      </w:r>
    </w:p>
    <w:p w14:paraId="058B2E7C" w14:textId="77777777" w:rsidR="00426F0B" w:rsidRPr="00190C4E" w:rsidRDefault="00426F0B" w:rsidP="00426F0B">
      <w:pPr>
        <w:shd w:val="clear" w:color="auto" w:fill="EEEEEE"/>
        <w:spacing w:before="100" w:beforeAutospacing="1" w:after="100" w:afterAutospacing="1"/>
        <w:rPr>
          <w:rFonts w:ascii="Arial" w:hAnsi="Arial" w:cs="Arial"/>
          <w:color w:val="000000"/>
        </w:rPr>
      </w:pPr>
      <w:r w:rsidRPr="00190C4E">
        <w:rPr>
          <w:rFonts w:ascii="Arial" w:hAnsi="Arial" w:cs="Arial"/>
          <w:color w:val="000000"/>
        </w:rPr>
        <w:t>http://www.zomet.org.il/eng/?CategoryID=198&amp;ArticleID=286</w:t>
      </w:r>
    </w:p>
    <w:p w14:paraId="4782FFF2"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Schachter, Jacob J. (Ed.), </w:t>
      </w:r>
      <w:r w:rsidRPr="00190C4E">
        <w:rPr>
          <w:rFonts w:ascii="Arial" w:hAnsi="Arial" w:cs="Arial"/>
          <w:color w:val="000000"/>
          <w:u w:val="single"/>
        </w:rPr>
        <w:t>Jewish Tradition and the Non-Traditional Jew</w:t>
      </w:r>
      <w:r w:rsidRPr="00190C4E">
        <w:rPr>
          <w:rFonts w:ascii="Arial" w:hAnsi="Arial" w:cs="Arial"/>
          <w:color w:val="000000"/>
        </w:rPr>
        <w:t> (1992: Aronson)</w:t>
      </w:r>
    </w:p>
    <w:p w14:paraId="07A1C9E6"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Shatz, Waxman, &amp; Diament (eds.),</w:t>
      </w:r>
      <w:r w:rsidRPr="00190C4E">
        <w:rPr>
          <w:rFonts w:ascii="Arial" w:hAnsi="Arial" w:cs="Arial"/>
          <w:color w:val="000000"/>
          <w:u w:val="single"/>
        </w:rPr>
        <w:t> </w:t>
      </w:r>
      <w:r w:rsidRPr="00190C4E">
        <w:rPr>
          <w:rFonts w:ascii="Arial" w:hAnsi="Arial" w:cs="Arial"/>
          <w:i/>
          <w:iCs/>
          <w:color w:val="000000"/>
        </w:rPr>
        <w:t>Tikkun Olam</w:t>
      </w:r>
      <w:r w:rsidRPr="00190C4E">
        <w:rPr>
          <w:rFonts w:ascii="Arial" w:hAnsi="Arial" w:cs="Arial"/>
          <w:color w:val="000000"/>
          <w:u w:val="single"/>
        </w:rPr>
        <w:t>: Social Responsibility in Jewish Thought and Law</w:t>
      </w:r>
      <w:r w:rsidRPr="00190C4E">
        <w:rPr>
          <w:rFonts w:ascii="Arial" w:hAnsi="Arial" w:cs="Arial"/>
          <w:color w:val="000000"/>
        </w:rPr>
        <w:t> (1997: Jason Aronson).</w:t>
      </w:r>
    </w:p>
    <w:p w14:paraId="64CB2E01"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Soloveitchik, Haym, </w:t>
      </w:r>
      <w:r w:rsidRPr="00190C4E">
        <w:rPr>
          <w:rFonts w:ascii="Arial" w:hAnsi="Arial" w:cs="Arial"/>
          <w:color w:val="000000"/>
          <w:u w:val="single"/>
        </w:rPr>
        <w:t>Collected Essays, Volume 2</w:t>
      </w:r>
      <w:r w:rsidRPr="00190C4E">
        <w:rPr>
          <w:rFonts w:ascii="Arial" w:hAnsi="Arial" w:cs="Arial"/>
          <w:color w:val="000000"/>
        </w:rPr>
        <w:t> (2014: The Littman Library of Jewish Civilization, Oxford).</w:t>
      </w:r>
    </w:p>
    <w:p w14:paraId="61B0D811"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Sorotzkin, B, “Honoring Parents Who Are Abusive,” Parts 1-3, The International Network of Orthodox Mental Health Professionals - NEFESH News (2004), note 10 therein; available online at: http://www.drsorotzkin.com/ honoring_abusive_parents.html.</w:t>
      </w:r>
    </w:p>
    <w:p w14:paraId="585E001B"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Spiro T, Lee E.O., Emanuel, E.J., “Price and Utilization: Why We Must Target Both to Curb Health Care Costs,” </w:t>
      </w:r>
      <w:r w:rsidRPr="00190C4E">
        <w:rPr>
          <w:rFonts w:ascii="Arial" w:hAnsi="Arial" w:cs="Arial"/>
          <w:color w:val="000000"/>
          <w:u w:val="single"/>
        </w:rPr>
        <w:t>Annals of Internal Medicine</w:t>
      </w:r>
      <w:r w:rsidRPr="00190C4E">
        <w:rPr>
          <w:rFonts w:ascii="Arial" w:hAnsi="Arial" w:cs="Arial"/>
          <w:color w:val="000000"/>
        </w:rPr>
        <w:t> 2012;157:586-590.</w:t>
      </w:r>
    </w:p>
    <w:p w14:paraId="2936F649"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Steinberg, Avraham, “Allocation of Scarce Resources,” </w:t>
      </w:r>
      <w:r w:rsidRPr="00190C4E">
        <w:rPr>
          <w:rFonts w:ascii="Arial" w:hAnsi="Arial" w:cs="Arial"/>
          <w:color w:val="000000"/>
          <w:u w:val="single"/>
        </w:rPr>
        <w:t>ASSIA – Jewish Medical Ethics</w:t>
      </w:r>
      <w:r w:rsidRPr="00190C4E">
        <w:rPr>
          <w:rFonts w:ascii="Arial" w:hAnsi="Arial" w:cs="Arial"/>
          <w:color w:val="000000"/>
        </w:rPr>
        <w:t>, Vol. II, No. 2, May 1995, pp. 14-21.</w:t>
      </w:r>
      <w:hyperlink r:id="rId23" w:history="1">
        <w:r w:rsidRPr="00190C4E">
          <w:rPr>
            <w:rFonts w:ascii="Arial" w:hAnsi="Arial" w:cs="Arial"/>
            <w:color w:val="0000FF"/>
            <w:u w:val="single"/>
          </w:rPr>
          <w:t>http://98.131.138.124/articles/JME/JMEB2/JMEB2.24.asp#</w:t>
        </w:r>
      </w:hyperlink>
    </w:p>
    <w:p w14:paraId="3C930644"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Tendler, M.D., “So One May Live: Siamese Twins," Unpublished Responsum by Rav Moshe Feinstein zt”l, Translated and annotated, in </w:t>
      </w:r>
      <w:r w:rsidRPr="00190C4E">
        <w:rPr>
          <w:rFonts w:ascii="Arial" w:hAnsi="Arial" w:cs="Arial"/>
          <w:color w:val="000000"/>
          <w:u w:val="single"/>
        </w:rPr>
        <w:t>Care of the Critically Ill, Vol. 1 (</w:t>
      </w:r>
      <w:r w:rsidRPr="00190C4E">
        <w:rPr>
          <w:rFonts w:ascii="Arial" w:hAnsi="Arial" w:cs="Arial"/>
          <w:color w:val="000000"/>
        </w:rPr>
        <w:t>1996: Ktav).</w:t>
      </w:r>
    </w:p>
    <w:p w14:paraId="6F643DEF"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Weisen, Jonathan (ed.), </w:t>
      </w:r>
      <w:r w:rsidRPr="00190C4E">
        <w:rPr>
          <w:rFonts w:ascii="Arial" w:hAnsi="Arial" w:cs="Arial"/>
          <w:color w:val="000000"/>
          <w:u w:val="single"/>
        </w:rPr>
        <w:t>And You Shall Surely Heal </w:t>
      </w:r>
      <w:r w:rsidRPr="00190C4E">
        <w:rPr>
          <w:rFonts w:ascii="Arial" w:hAnsi="Arial" w:cs="Arial"/>
          <w:color w:val="000000"/>
        </w:rPr>
        <w:t>(2009: KTAV Publishing House).</w:t>
      </w:r>
    </w:p>
    <w:p w14:paraId="73A8F4DB" w14:textId="77777777" w:rsidR="00426F0B" w:rsidRPr="00190C4E" w:rsidRDefault="00426F0B" w:rsidP="00426F0B">
      <w:pPr>
        <w:numPr>
          <w:ilvl w:val="0"/>
          <w:numId w:val="18"/>
        </w:numPr>
        <w:shd w:val="clear" w:color="auto" w:fill="EEEEEE"/>
        <w:spacing w:before="100" w:beforeAutospacing="1" w:after="100" w:afterAutospacing="1"/>
        <w:rPr>
          <w:rFonts w:ascii="Arial" w:hAnsi="Arial" w:cs="Arial"/>
          <w:color w:val="000000"/>
        </w:rPr>
      </w:pPr>
      <w:r w:rsidRPr="00190C4E">
        <w:rPr>
          <w:rFonts w:ascii="Arial" w:hAnsi="Arial" w:cs="Arial"/>
          <w:color w:val="000000"/>
        </w:rPr>
        <w:t> </w:t>
      </w:r>
    </w:p>
    <w:p w14:paraId="33C6594A" w14:textId="77777777" w:rsidR="00426F0B" w:rsidRPr="00190C4E" w:rsidRDefault="00426F0B" w:rsidP="00426F0B">
      <w:pPr>
        <w:shd w:val="clear" w:color="auto" w:fill="EEEEEE"/>
        <w:bidi/>
        <w:spacing w:before="100" w:beforeAutospacing="1" w:after="100" w:afterAutospacing="1"/>
        <w:rPr>
          <w:rFonts w:ascii="Arial" w:hAnsi="Arial" w:cs="Arial"/>
          <w:color w:val="000000"/>
        </w:rPr>
      </w:pPr>
      <w:r w:rsidRPr="00190C4E">
        <w:rPr>
          <w:rFonts w:ascii="Arial" w:hAnsi="Arial" w:cs="Arial"/>
          <w:color w:val="000000"/>
          <w:rtl/>
        </w:rPr>
        <w:t>שבט, ארי יצחק “גילוי עריות למען בטחון המדינה ” תחומין ל' 68-81</w:t>
      </w:r>
    </w:p>
    <w:p w14:paraId="5B5C3CBB" w14:textId="77777777" w:rsidR="00426F0B" w:rsidRPr="00190C4E" w:rsidRDefault="00426F0B" w:rsidP="00426F0B">
      <w:pPr>
        <w:numPr>
          <w:ilvl w:val="0"/>
          <w:numId w:val="19"/>
        </w:numPr>
        <w:shd w:val="clear" w:color="auto" w:fill="EEEEEE"/>
        <w:bidi/>
        <w:spacing w:before="100" w:beforeAutospacing="1" w:after="100" w:afterAutospacing="1"/>
        <w:rPr>
          <w:rFonts w:ascii="Arial" w:hAnsi="Arial" w:cs="Arial"/>
          <w:color w:val="000000"/>
          <w:rtl/>
        </w:rPr>
      </w:pPr>
      <w:r w:rsidRPr="00190C4E">
        <w:rPr>
          <w:rFonts w:ascii="Arial" w:hAnsi="Arial" w:cs="Arial"/>
          <w:color w:val="000000"/>
          <w:rtl/>
        </w:rPr>
        <w:lastRenderedPageBreak/>
        <w:t>תחומין 1-35 (</w:t>
      </w:r>
      <w:r w:rsidRPr="00190C4E">
        <w:rPr>
          <w:rFonts w:ascii="Arial" w:hAnsi="Arial" w:cs="Arial"/>
          <w:color w:val="000000"/>
        </w:rPr>
        <w:t>English translation: "Crossroads" volumes 1-3</w:t>
      </w:r>
      <w:r w:rsidRPr="00190C4E">
        <w:rPr>
          <w:rFonts w:ascii="Arial" w:hAnsi="Arial" w:cs="Arial"/>
          <w:color w:val="000000"/>
          <w:rtl/>
        </w:rPr>
        <w:t>)</w:t>
      </w:r>
    </w:p>
    <w:p w14:paraId="7C92AB65" w14:textId="77777777" w:rsidR="00426F0B" w:rsidRPr="00190C4E" w:rsidRDefault="00426F0B" w:rsidP="00426F0B">
      <w:pPr>
        <w:numPr>
          <w:ilvl w:val="0"/>
          <w:numId w:val="19"/>
        </w:numPr>
        <w:shd w:val="clear" w:color="auto" w:fill="EEEEEE"/>
        <w:bidi/>
        <w:spacing w:before="100" w:beforeAutospacing="1" w:after="100" w:afterAutospacing="1"/>
        <w:rPr>
          <w:rFonts w:ascii="Arial" w:hAnsi="Arial" w:cs="Arial"/>
          <w:color w:val="000000"/>
          <w:rtl/>
        </w:rPr>
      </w:pPr>
      <w:r w:rsidRPr="00190C4E">
        <w:rPr>
          <w:rFonts w:ascii="Arial" w:hAnsi="Arial" w:cs="Arial"/>
          <w:color w:val="000000"/>
          <w:u w:val="single"/>
          <w:rtl/>
        </w:rPr>
        <w:t>חיי שעה</w:t>
      </w:r>
      <w:r w:rsidRPr="00190C4E">
        <w:rPr>
          <w:rFonts w:ascii="Arial" w:hAnsi="Arial" w:cs="Arial"/>
          <w:color w:val="000000"/>
          <w:rtl/>
        </w:rPr>
        <w:t> שמחה לייזרזון</w:t>
      </w:r>
    </w:p>
    <w:p w14:paraId="21C63D40" w14:textId="77777777" w:rsidR="00426F0B" w:rsidRPr="00190C4E" w:rsidRDefault="00426F0B" w:rsidP="00426F0B">
      <w:pPr>
        <w:numPr>
          <w:ilvl w:val="0"/>
          <w:numId w:val="19"/>
        </w:numPr>
        <w:shd w:val="clear" w:color="auto" w:fill="EEEEEE"/>
        <w:bidi/>
        <w:spacing w:before="100" w:beforeAutospacing="1" w:after="100" w:afterAutospacing="1"/>
        <w:rPr>
          <w:rFonts w:ascii="Arial" w:hAnsi="Arial" w:cs="Arial"/>
          <w:color w:val="000000"/>
          <w:rtl/>
        </w:rPr>
      </w:pPr>
      <w:r w:rsidRPr="00190C4E">
        <w:rPr>
          <w:rFonts w:ascii="Arial" w:hAnsi="Arial" w:cs="Arial"/>
          <w:color w:val="000000"/>
          <w:u w:val="single"/>
          <w:rtl/>
        </w:rPr>
        <w:t>קול צופיך</w:t>
      </w:r>
      <w:r w:rsidRPr="00190C4E">
        <w:rPr>
          <w:rFonts w:ascii="Arial" w:hAnsi="Arial" w:cs="Arial"/>
          <w:color w:val="000000"/>
          <w:rtl/>
        </w:rPr>
        <w:t> יהודה גרשוני, מוריה תש"ם</w:t>
      </w:r>
    </w:p>
    <w:p w14:paraId="4D2887F5" w14:textId="77777777" w:rsidR="00426F0B" w:rsidRPr="00AF2C94" w:rsidRDefault="00426F0B" w:rsidP="00426F0B">
      <w:pPr>
        <w:numPr>
          <w:ilvl w:val="0"/>
          <w:numId w:val="19"/>
        </w:numPr>
        <w:shd w:val="clear" w:color="auto" w:fill="EEEEEE"/>
        <w:bidi/>
        <w:spacing w:before="100" w:beforeAutospacing="1" w:after="100" w:afterAutospacing="1"/>
        <w:rPr>
          <w:rFonts w:ascii="Arial" w:hAnsi="Arial" w:cs="Arial"/>
          <w:color w:val="000000"/>
        </w:rPr>
      </w:pPr>
      <w:r w:rsidRPr="00190C4E">
        <w:rPr>
          <w:rFonts w:ascii="Arial" w:hAnsi="Arial" w:cs="Arial"/>
          <w:color w:val="000000"/>
          <w:u w:val="single"/>
          <w:rtl/>
        </w:rPr>
        <w:t>קדושת החיים וחירוף הנפש</w:t>
      </w:r>
      <w:r w:rsidRPr="00190C4E">
        <w:rPr>
          <w:rFonts w:ascii="Arial" w:hAnsi="Arial" w:cs="Arial"/>
          <w:color w:val="000000"/>
          <w:rtl/>
        </w:rPr>
        <w:t> עורכים י. גפני א. רביצקי מרכז שזר תשנ"ג</w:t>
      </w:r>
    </w:p>
    <w:p w14:paraId="708E9BB0" w14:textId="77777777" w:rsidR="00512CAB" w:rsidRDefault="00512CAB"/>
    <w:sectPr w:rsidR="00512CAB" w:rsidSect="00426F0B">
      <w:headerReference w:type="even" r:id="rId24"/>
      <w:headerReference w:type="default" r:id="rId25"/>
      <w:footerReference w:type="even" r:id="rId26"/>
      <w:footerReference w:type="default" r:id="rId27"/>
      <w:headerReference w:type="first" r:id="rId28"/>
      <w:footerReference w:type="first" r:id="rId29"/>
      <w:pgSz w:w="12240" w:h="15840"/>
      <w:pgMar w:top="125" w:right="1444" w:bottom="12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Optima">
    <w:altName w:val="Calibri"/>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71478" w14:textId="77777777" w:rsidR="00426F0B" w:rsidRDefault="00426F0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02ED1" w14:textId="77777777" w:rsidR="00426F0B" w:rsidRDefault="00426F0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E41FA" w14:textId="77777777" w:rsidR="00426F0B" w:rsidRDefault="00426F0B">
    <w:pPr>
      <w:pStyle w:val="a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726F8" w14:textId="77777777" w:rsidR="00426F0B" w:rsidRDefault="00426F0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8FFA5" w14:textId="77777777" w:rsidR="00426F0B" w:rsidRDefault="00426F0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C59A5" w14:textId="77777777" w:rsidR="00426F0B" w:rsidRDefault="00426F0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E3807"/>
    <w:multiLevelType w:val="multilevel"/>
    <w:tmpl w:val="5D56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A5777"/>
    <w:multiLevelType w:val="multilevel"/>
    <w:tmpl w:val="8B60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10393"/>
    <w:multiLevelType w:val="multilevel"/>
    <w:tmpl w:val="923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D453F"/>
    <w:multiLevelType w:val="multilevel"/>
    <w:tmpl w:val="AC9C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D3EE8"/>
    <w:multiLevelType w:val="multilevel"/>
    <w:tmpl w:val="1A96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E0260"/>
    <w:multiLevelType w:val="multilevel"/>
    <w:tmpl w:val="A1187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80769"/>
    <w:multiLevelType w:val="multilevel"/>
    <w:tmpl w:val="FF46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92B38"/>
    <w:multiLevelType w:val="multilevel"/>
    <w:tmpl w:val="6A12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A2E69"/>
    <w:multiLevelType w:val="multilevel"/>
    <w:tmpl w:val="4C5E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283864"/>
    <w:multiLevelType w:val="multilevel"/>
    <w:tmpl w:val="3192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34D53"/>
    <w:multiLevelType w:val="multilevel"/>
    <w:tmpl w:val="7514D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65253"/>
    <w:multiLevelType w:val="multilevel"/>
    <w:tmpl w:val="E6C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A5D51"/>
    <w:multiLevelType w:val="multilevel"/>
    <w:tmpl w:val="87D6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D61BA"/>
    <w:multiLevelType w:val="multilevel"/>
    <w:tmpl w:val="DFB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40ED0"/>
    <w:multiLevelType w:val="multilevel"/>
    <w:tmpl w:val="C63E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B664C3"/>
    <w:multiLevelType w:val="multilevel"/>
    <w:tmpl w:val="A878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0F7460"/>
    <w:multiLevelType w:val="multilevel"/>
    <w:tmpl w:val="CF523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DC450F"/>
    <w:multiLevelType w:val="multilevel"/>
    <w:tmpl w:val="15E4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B2385C"/>
    <w:multiLevelType w:val="multilevel"/>
    <w:tmpl w:val="D234B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202036">
    <w:abstractNumId w:val="14"/>
  </w:num>
  <w:num w:numId="2" w16cid:durableId="150102873">
    <w:abstractNumId w:val="18"/>
  </w:num>
  <w:num w:numId="3" w16cid:durableId="2064281246">
    <w:abstractNumId w:val="5"/>
  </w:num>
  <w:num w:numId="4" w16cid:durableId="736896616">
    <w:abstractNumId w:val="16"/>
  </w:num>
  <w:num w:numId="5" w16cid:durableId="569001177">
    <w:abstractNumId w:val="6"/>
  </w:num>
  <w:num w:numId="6" w16cid:durableId="1057238589">
    <w:abstractNumId w:val="0"/>
  </w:num>
  <w:num w:numId="7" w16cid:durableId="154683890">
    <w:abstractNumId w:val="1"/>
  </w:num>
  <w:num w:numId="8" w16cid:durableId="775099397">
    <w:abstractNumId w:val="4"/>
  </w:num>
  <w:num w:numId="9" w16cid:durableId="1467622577">
    <w:abstractNumId w:val="2"/>
  </w:num>
  <w:num w:numId="10" w16cid:durableId="1894384724">
    <w:abstractNumId w:val="11"/>
  </w:num>
  <w:num w:numId="11" w16cid:durableId="1131485147">
    <w:abstractNumId w:val="3"/>
  </w:num>
  <w:num w:numId="12" w16cid:durableId="2086367755">
    <w:abstractNumId w:val="13"/>
  </w:num>
  <w:num w:numId="13" w16cid:durableId="1511026963">
    <w:abstractNumId w:val="7"/>
  </w:num>
  <w:num w:numId="14" w16cid:durableId="1665939623">
    <w:abstractNumId w:val="17"/>
  </w:num>
  <w:num w:numId="15" w16cid:durableId="851333699">
    <w:abstractNumId w:val="12"/>
  </w:num>
  <w:num w:numId="16" w16cid:durableId="1806117914">
    <w:abstractNumId w:val="9"/>
  </w:num>
  <w:num w:numId="17" w16cid:durableId="2134208029">
    <w:abstractNumId w:val="8"/>
  </w:num>
  <w:num w:numId="18" w16cid:durableId="398408026">
    <w:abstractNumId w:val="10"/>
  </w:num>
  <w:num w:numId="19" w16cid:durableId="3436724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0B"/>
    <w:rsid w:val="00426F0B"/>
    <w:rsid w:val="00512CAB"/>
    <w:rsid w:val="00E529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D36ECC9"/>
  <w15:chartTrackingRefBased/>
  <w15:docId w15:val="{AD30FBFB-05D5-470E-81B0-447937D2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F0B"/>
    <w:pPr>
      <w:spacing w:after="0" w:line="240" w:lineRule="auto"/>
    </w:pPr>
    <w:rPr>
      <w:rFonts w:ascii="Times New Roman" w:eastAsia="Times New Roman" w:hAnsi="Times New Roman" w:cs="Times New Roman"/>
      <w:kern w:val="0"/>
      <w:sz w:val="24"/>
      <w:szCs w:val="24"/>
      <w:lang/>
    </w:rPr>
  </w:style>
  <w:style w:type="paragraph" w:styleId="3">
    <w:name w:val="heading 3"/>
    <w:basedOn w:val="a"/>
    <w:next w:val="a"/>
    <w:link w:val="30"/>
    <w:uiPriority w:val="9"/>
    <w:unhideWhenUsed/>
    <w:qFormat/>
    <w:rsid w:val="00426F0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uiPriority w:val="9"/>
    <w:rsid w:val="00426F0B"/>
    <w:rPr>
      <w:rFonts w:asciiTheme="majorHAnsi" w:eastAsiaTheme="majorEastAsia" w:hAnsiTheme="majorHAnsi" w:cstheme="majorBidi"/>
      <w:color w:val="1F3763" w:themeColor="accent1" w:themeShade="7F"/>
      <w:kern w:val="0"/>
      <w:sz w:val="24"/>
      <w:szCs w:val="24"/>
      <w:lang/>
    </w:rPr>
  </w:style>
  <w:style w:type="table" w:styleId="a3">
    <w:name w:val="Table Grid"/>
    <w:basedOn w:val="a1"/>
    <w:uiPriority w:val="39"/>
    <w:rsid w:val="00426F0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6F0B"/>
    <w:pPr>
      <w:tabs>
        <w:tab w:val="center" w:pos="4680"/>
        <w:tab w:val="right" w:pos="9360"/>
      </w:tabs>
    </w:pPr>
  </w:style>
  <w:style w:type="character" w:customStyle="1" w:styleId="a5">
    <w:name w:val="כותרת עליונה תו"/>
    <w:basedOn w:val="a0"/>
    <w:link w:val="a4"/>
    <w:uiPriority w:val="99"/>
    <w:rsid w:val="00426F0B"/>
    <w:rPr>
      <w:rFonts w:ascii="Times New Roman" w:eastAsia="Times New Roman" w:hAnsi="Times New Roman" w:cs="Times New Roman"/>
      <w:kern w:val="0"/>
      <w:sz w:val="24"/>
      <w:szCs w:val="24"/>
      <w:lang/>
    </w:rPr>
  </w:style>
  <w:style w:type="paragraph" w:styleId="a6">
    <w:name w:val="footer"/>
    <w:basedOn w:val="a"/>
    <w:link w:val="a7"/>
    <w:uiPriority w:val="99"/>
    <w:unhideWhenUsed/>
    <w:rsid w:val="00426F0B"/>
    <w:pPr>
      <w:tabs>
        <w:tab w:val="center" w:pos="4680"/>
        <w:tab w:val="right" w:pos="9360"/>
      </w:tabs>
    </w:pPr>
  </w:style>
  <w:style w:type="character" w:customStyle="1" w:styleId="a7">
    <w:name w:val="כותרת תחתונה תו"/>
    <w:basedOn w:val="a0"/>
    <w:link w:val="a6"/>
    <w:uiPriority w:val="99"/>
    <w:rsid w:val="00426F0B"/>
    <w:rPr>
      <w:rFonts w:ascii="Times New Roman" w:eastAsia="Times New Roman" w:hAnsi="Times New Roman" w:cs="Times New Roman"/>
      <w:kern w:val="0"/>
      <w:sz w:val="24"/>
      <w:szCs w:val="24"/>
      <w:lang/>
    </w:rPr>
  </w:style>
  <w:style w:type="character" w:styleId="Hyperlink">
    <w:name w:val="Hyperlink"/>
    <w:basedOn w:val="a0"/>
    <w:uiPriority w:val="99"/>
    <w:unhideWhenUsed/>
    <w:rsid w:val="00426F0B"/>
    <w:rPr>
      <w:color w:val="0563C1" w:themeColor="hyperlink"/>
      <w:u w:val="single"/>
    </w:rPr>
  </w:style>
  <w:style w:type="paragraph" w:styleId="a8">
    <w:name w:val="Title"/>
    <w:basedOn w:val="a"/>
    <w:next w:val="a"/>
    <w:link w:val="a9"/>
    <w:uiPriority w:val="10"/>
    <w:qFormat/>
    <w:rsid w:val="00426F0B"/>
    <w:pPr>
      <w:contextualSpacing/>
    </w:pPr>
    <w:rPr>
      <w:rFonts w:asciiTheme="majorHAnsi" w:eastAsiaTheme="majorEastAsia" w:hAnsiTheme="majorHAnsi" w:cstheme="majorBidi"/>
      <w:spacing w:val="-10"/>
      <w:kern w:val="28"/>
      <w:sz w:val="56"/>
      <w:szCs w:val="56"/>
    </w:rPr>
  </w:style>
  <w:style w:type="character" w:customStyle="1" w:styleId="a9">
    <w:name w:val="כותרת טקסט תו"/>
    <w:basedOn w:val="a0"/>
    <w:link w:val="a8"/>
    <w:uiPriority w:val="10"/>
    <w:rsid w:val="00426F0B"/>
    <w:rPr>
      <w:rFonts w:asciiTheme="majorHAnsi" w:eastAsiaTheme="majorEastAsia" w:hAnsiTheme="majorHAnsi" w:cstheme="majorBidi"/>
      <w:spacing w:val="-10"/>
      <w:kern w:val="28"/>
      <w:sz w:val="56"/>
      <w:szCs w:val="56"/>
      <w:lang/>
    </w:rPr>
  </w:style>
  <w:style w:type="character" w:styleId="aa">
    <w:name w:val="Strong"/>
    <w:basedOn w:val="a0"/>
    <w:uiPriority w:val="22"/>
    <w:qFormat/>
    <w:rsid w:val="00426F0B"/>
    <w:rPr>
      <w:b/>
      <w:bCs/>
    </w:rPr>
  </w:style>
  <w:style w:type="paragraph" w:styleId="NormalWeb">
    <w:name w:val="Normal (Web)"/>
    <w:basedOn w:val="a"/>
    <w:uiPriority w:val="99"/>
    <w:semiHidden/>
    <w:unhideWhenUsed/>
    <w:rsid w:val="00426F0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8.png"/><Relationship Id="rId18" Type="http://schemas.openxmlformats.org/officeDocument/2006/relationships/image" Target="media/image13.sv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koltorah.org/ravj/14-17%20Cosmetic%20Surgery%20-%20A%20Review%20of%20Four%20Classic%20Teshuvot%201.htm" TargetMode="External"/><Relationship Id="rId7" Type="http://schemas.openxmlformats.org/officeDocument/2006/relationships/image" Target="media/image2.png"/><Relationship Id="rId12" Type="http://schemas.openxmlformats.org/officeDocument/2006/relationships/image" Target="media/image7.svg"/><Relationship Id="rId17" Type="http://schemas.openxmlformats.org/officeDocument/2006/relationships/image" Target="media/image12.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1.svg"/><Relationship Id="rId20" Type="http://schemas.openxmlformats.org/officeDocument/2006/relationships/hyperlink" Target="http://www.koltorah.org/ravj/14-18%20Cosmetic%20Surgery%20-%20A%20Review%20of%20Four%20Classic%20Teshuvot%202.ht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hyperlink" Target="https://lemida.biu.ac.il/course/view.php?id=114641" TargetMode="External"/><Relationship Id="rId11" Type="http://schemas.openxmlformats.org/officeDocument/2006/relationships/image" Target="media/image6.png"/><Relationship Id="rId24" Type="http://schemas.openxmlformats.org/officeDocument/2006/relationships/header" Target="header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hyperlink" Target="http://98.131.138.124/articles/JME/JMEB2/JMEB2.24.asp" TargetMode="External"/><Relationship Id="rId28" Type="http://schemas.openxmlformats.org/officeDocument/2006/relationships/header" Target="header3.xml"/><Relationship Id="rId10" Type="http://schemas.openxmlformats.org/officeDocument/2006/relationships/image" Target="media/image5.svg"/><Relationship Id="rId19" Type="http://schemas.openxmlformats.org/officeDocument/2006/relationships/hyperlink" Target="http://www.jlaw.com/Articles/jewspublic.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svg"/><Relationship Id="rId22" Type="http://schemas.openxmlformats.org/officeDocument/2006/relationships/hyperlink" Target="http://doi.org/10.4103/0974-2077.63396"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1960</Words>
  <Characters>9800</Characters>
  <Application>Microsoft Office Word</Application>
  <DocSecurity>0</DocSecurity>
  <Lines>81</Lines>
  <Paragraphs>23</Paragraphs>
  <ScaleCrop>false</ScaleCrop>
  <Company>Bar-Ilan University</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Alyta Pitaru</dc:creator>
  <cp:keywords/>
  <dc:description/>
  <cp:lastModifiedBy>Alyta Pitaru</cp:lastModifiedBy>
  <cp:revision>1</cp:revision>
  <dcterms:created xsi:type="dcterms:W3CDTF">2026-10-04T06:16:00Z</dcterms:created>
  <dcterms:modified xsi:type="dcterms:W3CDTF">2026-10-04T06:18:00Z</dcterms:modified>
</cp:coreProperties>
</file>